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19ED" w:rsidRPr="00D32F83" w:rsidRDefault="004419ED" w:rsidP="00AA69ED">
      <w:pPr>
        <w:autoSpaceDE w:val="0"/>
        <w:autoSpaceDN w:val="0"/>
        <w:adjustRightInd w:val="0"/>
        <w:jc w:val="center"/>
        <w:rPr>
          <w:b/>
          <w:bCs/>
          <w:sz w:val="36"/>
          <w:szCs w:val="36"/>
        </w:rPr>
      </w:pPr>
      <w:r w:rsidRPr="00D32F83">
        <w:rPr>
          <w:b/>
          <w:bCs/>
          <w:sz w:val="36"/>
          <w:szCs w:val="36"/>
        </w:rPr>
        <w:t>Continuous Problem</w:t>
      </w:r>
      <w:r w:rsidR="00AA69ED" w:rsidRPr="00D32F83">
        <w:rPr>
          <w:b/>
          <w:bCs/>
          <w:sz w:val="36"/>
          <w:szCs w:val="36"/>
        </w:rPr>
        <w:t xml:space="preserve"> – City of </w:t>
      </w:r>
      <w:smartTag w:uri="urn:schemas-microsoft-com:office:smarttags" w:element="City">
        <w:smartTag w:uri="urn:schemas-microsoft-com:office:smarttags" w:element="place">
          <w:r w:rsidR="00D446CB">
            <w:rPr>
              <w:b/>
              <w:bCs/>
              <w:sz w:val="36"/>
              <w:szCs w:val="36"/>
            </w:rPr>
            <w:t>Monroe</w:t>
          </w:r>
        </w:smartTag>
      </w:smartTag>
    </w:p>
    <w:p w:rsidR="00D32F83" w:rsidRDefault="00D32F83" w:rsidP="00D32F83">
      <w:pPr>
        <w:tabs>
          <w:tab w:val="left" w:pos="-1440"/>
          <w:tab w:val="left" w:pos="-720"/>
          <w:tab w:val="left" w:pos="0"/>
          <w:tab w:val="left" w:pos="270"/>
          <w:tab w:val="left" w:pos="720"/>
          <w:tab w:val="left" w:pos="1008"/>
          <w:tab w:val="left" w:pos="1440"/>
          <w:tab w:val="left" w:pos="1728"/>
          <w:tab w:val="left" w:pos="2016"/>
          <w:tab w:val="left" w:pos="2304"/>
          <w:tab w:val="left" w:pos="2592"/>
          <w:tab w:val="left" w:pos="2808"/>
          <w:tab w:val="left" w:pos="3168"/>
          <w:tab w:val="left" w:pos="3456"/>
          <w:tab w:val="left" w:pos="3744"/>
          <w:tab w:val="left" w:pos="4032"/>
          <w:tab w:val="left" w:pos="4320"/>
          <w:tab w:val="left" w:pos="5040"/>
          <w:tab w:val="left" w:pos="5760"/>
          <w:tab w:val="left" w:pos="6480"/>
          <w:tab w:val="left" w:pos="7200"/>
          <w:tab w:val="left" w:pos="7920"/>
          <w:tab w:val="left" w:pos="8640"/>
          <w:tab w:val="left" w:pos="9360"/>
          <w:tab w:val="left" w:pos="10080"/>
          <w:tab w:val="left" w:pos="10800"/>
        </w:tabs>
        <w:suppressAutoHyphens/>
        <w:jc w:val="center"/>
        <w:rPr>
          <w:b/>
          <w:smallCaps/>
          <w:sz w:val="32"/>
          <w:szCs w:val="32"/>
        </w:rPr>
      </w:pPr>
    </w:p>
    <w:p w:rsidR="00D32F83" w:rsidRPr="005018DE" w:rsidRDefault="00D32F83" w:rsidP="00D32F83">
      <w:pPr>
        <w:tabs>
          <w:tab w:val="left" w:pos="-1440"/>
          <w:tab w:val="left" w:pos="-720"/>
          <w:tab w:val="left" w:pos="0"/>
          <w:tab w:val="left" w:pos="270"/>
          <w:tab w:val="left" w:pos="720"/>
          <w:tab w:val="left" w:pos="1008"/>
          <w:tab w:val="left" w:pos="1440"/>
          <w:tab w:val="left" w:pos="1728"/>
          <w:tab w:val="left" w:pos="2016"/>
          <w:tab w:val="left" w:pos="2304"/>
          <w:tab w:val="left" w:pos="2592"/>
          <w:tab w:val="left" w:pos="2808"/>
          <w:tab w:val="left" w:pos="3168"/>
          <w:tab w:val="left" w:pos="3456"/>
          <w:tab w:val="left" w:pos="3744"/>
          <w:tab w:val="left" w:pos="4032"/>
          <w:tab w:val="left" w:pos="4320"/>
          <w:tab w:val="left" w:pos="5040"/>
          <w:tab w:val="left" w:pos="5760"/>
          <w:tab w:val="left" w:pos="6480"/>
          <w:tab w:val="left" w:pos="7200"/>
          <w:tab w:val="left" w:pos="7920"/>
          <w:tab w:val="left" w:pos="8640"/>
          <w:tab w:val="left" w:pos="9360"/>
          <w:tab w:val="left" w:pos="10080"/>
          <w:tab w:val="left" w:pos="10800"/>
        </w:tabs>
        <w:suppressAutoHyphens/>
        <w:jc w:val="center"/>
        <w:rPr>
          <w:b/>
          <w:smallCaps/>
        </w:rPr>
      </w:pPr>
      <w:r w:rsidRPr="005018DE">
        <w:rPr>
          <w:b/>
          <w:smallCaps/>
        </w:rPr>
        <w:t>to Accompany</w:t>
      </w:r>
    </w:p>
    <w:p w:rsidR="00D32F83" w:rsidRDefault="00D32F83" w:rsidP="00D32F83">
      <w:pPr>
        <w:tabs>
          <w:tab w:val="left" w:pos="-1440"/>
          <w:tab w:val="left" w:pos="-720"/>
          <w:tab w:val="left" w:pos="0"/>
          <w:tab w:val="left" w:pos="270"/>
          <w:tab w:val="left" w:pos="720"/>
          <w:tab w:val="left" w:pos="1008"/>
          <w:tab w:val="left" w:pos="1440"/>
          <w:tab w:val="left" w:pos="1728"/>
          <w:tab w:val="left" w:pos="2016"/>
          <w:tab w:val="left" w:pos="2304"/>
          <w:tab w:val="left" w:pos="2592"/>
          <w:tab w:val="left" w:pos="2808"/>
          <w:tab w:val="left" w:pos="3168"/>
          <w:tab w:val="left" w:pos="3456"/>
          <w:tab w:val="left" w:pos="3744"/>
          <w:tab w:val="left" w:pos="4032"/>
          <w:tab w:val="left" w:pos="4320"/>
          <w:tab w:val="left" w:pos="5040"/>
          <w:tab w:val="left" w:pos="5760"/>
          <w:tab w:val="left" w:pos="6480"/>
          <w:tab w:val="left" w:pos="7200"/>
          <w:tab w:val="left" w:pos="7920"/>
          <w:tab w:val="left" w:pos="8640"/>
          <w:tab w:val="left" w:pos="9360"/>
          <w:tab w:val="left" w:pos="10080"/>
          <w:tab w:val="left" w:pos="10800"/>
        </w:tabs>
        <w:suppressAutoHyphens/>
        <w:jc w:val="center"/>
        <w:rPr>
          <w:b/>
          <w:i/>
          <w:smallCaps/>
          <w:sz w:val="28"/>
          <w:szCs w:val="28"/>
        </w:rPr>
      </w:pPr>
      <w:r w:rsidRPr="00D32F83">
        <w:rPr>
          <w:b/>
          <w:i/>
          <w:smallCaps/>
          <w:sz w:val="28"/>
          <w:szCs w:val="28"/>
        </w:rPr>
        <w:t>Essential</w:t>
      </w:r>
      <w:r w:rsidR="00CE7A45">
        <w:rPr>
          <w:b/>
          <w:i/>
          <w:smallCaps/>
          <w:sz w:val="28"/>
          <w:szCs w:val="28"/>
        </w:rPr>
        <w:t>s</w:t>
      </w:r>
      <w:r w:rsidRPr="00D32F83">
        <w:rPr>
          <w:b/>
          <w:i/>
          <w:smallCaps/>
          <w:sz w:val="28"/>
          <w:szCs w:val="28"/>
        </w:rPr>
        <w:t xml:space="preserve"> of Accounting for Governmental </w:t>
      </w:r>
    </w:p>
    <w:p w:rsidR="00D32F83" w:rsidRPr="00D32F83" w:rsidRDefault="00D32F83" w:rsidP="00D32F83">
      <w:pPr>
        <w:tabs>
          <w:tab w:val="left" w:pos="-1440"/>
          <w:tab w:val="left" w:pos="-720"/>
          <w:tab w:val="left" w:pos="0"/>
          <w:tab w:val="left" w:pos="270"/>
          <w:tab w:val="left" w:pos="720"/>
          <w:tab w:val="left" w:pos="1008"/>
          <w:tab w:val="left" w:pos="1440"/>
          <w:tab w:val="left" w:pos="1728"/>
          <w:tab w:val="left" w:pos="2016"/>
          <w:tab w:val="left" w:pos="2304"/>
          <w:tab w:val="left" w:pos="2592"/>
          <w:tab w:val="left" w:pos="2808"/>
          <w:tab w:val="left" w:pos="3168"/>
          <w:tab w:val="left" w:pos="3456"/>
          <w:tab w:val="left" w:pos="3744"/>
          <w:tab w:val="left" w:pos="4032"/>
          <w:tab w:val="left" w:pos="4320"/>
          <w:tab w:val="left" w:pos="5040"/>
          <w:tab w:val="left" w:pos="5760"/>
          <w:tab w:val="left" w:pos="6480"/>
          <w:tab w:val="left" w:pos="7200"/>
          <w:tab w:val="left" w:pos="7920"/>
          <w:tab w:val="left" w:pos="8640"/>
          <w:tab w:val="left" w:pos="9360"/>
          <w:tab w:val="left" w:pos="10080"/>
          <w:tab w:val="left" w:pos="10800"/>
        </w:tabs>
        <w:suppressAutoHyphens/>
        <w:jc w:val="center"/>
        <w:rPr>
          <w:b/>
          <w:i/>
          <w:smallCaps/>
          <w:sz w:val="28"/>
          <w:szCs w:val="28"/>
        </w:rPr>
      </w:pPr>
      <w:r w:rsidRPr="00D32F83">
        <w:rPr>
          <w:b/>
          <w:i/>
          <w:smallCaps/>
          <w:sz w:val="28"/>
          <w:szCs w:val="28"/>
        </w:rPr>
        <w:t xml:space="preserve">and Not-for-Profit Organizations:  </w:t>
      </w:r>
    </w:p>
    <w:p w:rsidR="00D32F83" w:rsidRDefault="009F0A75" w:rsidP="00D32F83">
      <w:pPr>
        <w:tabs>
          <w:tab w:val="left" w:pos="-1440"/>
          <w:tab w:val="left" w:pos="-720"/>
          <w:tab w:val="left" w:pos="0"/>
          <w:tab w:val="left" w:pos="270"/>
          <w:tab w:val="left" w:pos="720"/>
          <w:tab w:val="left" w:pos="1008"/>
          <w:tab w:val="left" w:pos="1440"/>
          <w:tab w:val="left" w:pos="1728"/>
          <w:tab w:val="left" w:pos="2016"/>
          <w:tab w:val="left" w:pos="2304"/>
          <w:tab w:val="left" w:pos="2592"/>
          <w:tab w:val="left" w:pos="2808"/>
          <w:tab w:val="left" w:pos="3168"/>
          <w:tab w:val="left" w:pos="3456"/>
          <w:tab w:val="left" w:pos="3744"/>
          <w:tab w:val="left" w:pos="4032"/>
          <w:tab w:val="left" w:pos="4320"/>
          <w:tab w:val="left" w:pos="5040"/>
          <w:tab w:val="left" w:pos="5760"/>
          <w:tab w:val="left" w:pos="6480"/>
          <w:tab w:val="left" w:pos="7200"/>
          <w:tab w:val="left" w:pos="7920"/>
          <w:tab w:val="left" w:pos="8640"/>
          <w:tab w:val="left" w:pos="9360"/>
          <w:tab w:val="left" w:pos="10080"/>
          <w:tab w:val="left" w:pos="10800"/>
        </w:tabs>
        <w:suppressAutoHyphens/>
        <w:jc w:val="center"/>
        <w:rPr>
          <w:b/>
          <w:i/>
          <w:smallCaps/>
          <w:sz w:val="28"/>
          <w:szCs w:val="28"/>
        </w:rPr>
      </w:pPr>
      <w:r>
        <w:rPr>
          <w:b/>
          <w:i/>
          <w:smallCaps/>
          <w:sz w:val="28"/>
          <w:szCs w:val="28"/>
        </w:rPr>
        <w:t>Fourteenth</w:t>
      </w:r>
      <w:r w:rsidR="00D32F83" w:rsidRPr="00D32F83">
        <w:rPr>
          <w:b/>
          <w:i/>
          <w:smallCaps/>
          <w:sz w:val="28"/>
          <w:szCs w:val="28"/>
        </w:rPr>
        <w:t xml:space="preserve"> Edition</w:t>
      </w:r>
    </w:p>
    <w:p w:rsidR="00AA69ED" w:rsidRPr="00AA69ED" w:rsidRDefault="00AA69ED" w:rsidP="004419ED">
      <w:pPr>
        <w:autoSpaceDE w:val="0"/>
        <w:autoSpaceDN w:val="0"/>
        <w:adjustRightInd w:val="0"/>
        <w:rPr>
          <w:b/>
          <w:bCs/>
        </w:rPr>
      </w:pPr>
    </w:p>
    <w:p w:rsidR="00CE7A45" w:rsidRDefault="00AA69ED" w:rsidP="004419ED">
      <w:pPr>
        <w:autoSpaceDE w:val="0"/>
        <w:autoSpaceDN w:val="0"/>
        <w:adjustRightInd w:val="0"/>
      </w:pPr>
      <w:r>
        <w:t>Chapters 2 through 8</w:t>
      </w:r>
      <w:r w:rsidR="004419ED" w:rsidRPr="00AA69ED">
        <w:t xml:space="preserve"> </w:t>
      </w:r>
      <w:r w:rsidR="00CD13C2">
        <w:t>describe</w:t>
      </w:r>
      <w:r w:rsidR="004419ED" w:rsidRPr="00AA69ED">
        <w:t xml:space="preserve"> accounting</w:t>
      </w:r>
      <w:r w:rsidR="00F2143B" w:rsidRPr="00AA69ED">
        <w:t xml:space="preserve"> </w:t>
      </w:r>
      <w:r>
        <w:t>a</w:t>
      </w:r>
      <w:r w:rsidR="004419ED" w:rsidRPr="00AA69ED">
        <w:t>nd financial reporting by state and local governments. A continuous</w:t>
      </w:r>
      <w:r w:rsidR="00F2143B" w:rsidRPr="00AA69ED">
        <w:t xml:space="preserve"> </w:t>
      </w:r>
      <w:r w:rsidR="004419ED" w:rsidRPr="00AA69ED">
        <w:t xml:space="preserve">problem is presented to </w:t>
      </w:r>
      <w:r>
        <w:t xml:space="preserve">provide an overview of the reporting process, including preparation of fund basis and government-wide statements.  </w:t>
      </w:r>
      <w:r w:rsidR="004419ED" w:rsidRPr="00AA69ED">
        <w:t>The</w:t>
      </w:r>
      <w:r w:rsidR="00F2143B" w:rsidRPr="00AA69ED">
        <w:t xml:space="preserve"> </w:t>
      </w:r>
      <w:r w:rsidR="004419ED" w:rsidRPr="00AA69ED">
        <w:t>problem assumes the government is using fund accounting for its internal</w:t>
      </w:r>
      <w:r w:rsidR="00F2143B" w:rsidRPr="00AA69ED">
        <w:t xml:space="preserve"> </w:t>
      </w:r>
      <w:r w:rsidR="004419ED" w:rsidRPr="00AA69ED">
        <w:t>record-keeping and then at year-end makes necessary adjustments to prepare</w:t>
      </w:r>
      <w:r w:rsidR="00F2143B" w:rsidRPr="00AA69ED">
        <w:t xml:space="preserve"> </w:t>
      </w:r>
      <w:r w:rsidR="004419ED" w:rsidRPr="00AA69ED">
        <w:t xml:space="preserve">the government-wide statements. </w:t>
      </w:r>
      <w:r>
        <w:t xml:space="preserve">The problem that follows is </w:t>
      </w:r>
      <w:r w:rsidR="00CD13C2">
        <w:t xml:space="preserve">presented in the same order as the textbook (beginning with Chapters 3, and </w:t>
      </w:r>
      <w:r>
        <w:t>4</w:t>
      </w:r>
      <w:r w:rsidR="00CD13C2">
        <w:t xml:space="preserve">). </w:t>
      </w:r>
    </w:p>
    <w:p w:rsidR="00CE7A45" w:rsidRDefault="00CE7A45" w:rsidP="004419ED">
      <w:pPr>
        <w:autoSpaceDE w:val="0"/>
        <w:autoSpaceDN w:val="0"/>
        <w:adjustRightInd w:val="0"/>
      </w:pPr>
    </w:p>
    <w:p w:rsidR="004419ED" w:rsidRDefault="00CE7A45" w:rsidP="004419ED">
      <w:pPr>
        <w:autoSpaceDE w:val="0"/>
        <w:autoSpaceDN w:val="0"/>
        <w:adjustRightInd w:val="0"/>
      </w:pPr>
      <w:r>
        <w:t xml:space="preserve">Each chapter requires the preparation of journal entries to record the events and transactions of governmental, proprietary, or fiduciary funds.  For the General Fund, use control accounts for the budgetary accounts, revenues, expenditures and encumbrances.  For all other funds, use separate accounts for each type of revenue and expenditure/expense.  </w:t>
      </w:r>
      <w:r w:rsidR="004419ED" w:rsidRPr="00AA69ED">
        <w:t>At appropriate stages, preparation of</w:t>
      </w:r>
      <w:r w:rsidR="00F2143B" w:rsidRPr="00AA69ED">
        <w:t xml:space="preserve"> </w:t>
      </w:r>
      <w:r w:rsidR="004419ED" w:rsidRPr="00AA69ED">
        <w:t>the fund and government-wide statements are required. The following funds</w:t>
      </w:r>
      <w:r w:rsidR="00F2143B" w:rsidRPr="00AA69ED">
        <w:t xml:space="preserve"> </w:t>
      </w:r>
      <w:r w:rsidR="004419ED" w:rsidRPr="00AA69ED">
        <w:t>are incl</w:t>
      </w:r>
      <w:r w:rsidR="00AA69ED">
        <w:t>uded in this series of problems:</w:t>
      </w:r>
    </w:p>
    <w:p w:rsidR="00AA69ED" w:rsidRDefault="00AA69ED" w:rsidP="004419ED">
      <w:pPr>
        <w:autoSpaceDE w:val="0"/>
        <w:autoSpaceDN w:val="0"/>
        <w:adjustRightInd w:val="0"/>
      </w:pPr>
      <w:bookmarkStart w:id="0" w:name="_GoBack"/>
      <w:bookmarkEnd w:id="0"/>
    </w:p>
    <w:p w:rsidR="004419ED" w:rsidRPr="00AA69ED" w:rsidRDefault="00AA69ED" w:rsidP="004419ED">
      <w:pPr>
        <w:autoSpaceDE w:val="0"/>
        <w:autoSpaceDN w:val="0"/>
        <w:adjustRightInd w:val="0"/>
      </w:pPr>
      <w:r>
        <w:t>Governmental Funds</w:t>
      </w:r>
    </w:p>
    <w:p w:rsidR="004419ED" w:rsidRPr="00AA69ED" w:rsidRDefault="004419ED" w:rsidP="00AA69ED">
      <w:pPr>
        <w:numPr>
          <w:ilvl w:val="0"/>
          <w:numId w:val="4"/>
        </w:numPr>
        <w:autoSpaceDE w:val="0"/>
        <w:autoSpaceDN w:val="0"/>
        <w:adjustRightInd w:val="0"/>
      </w:pPr>
      <w:r w:rsidRPr="00AA69ED">
        <w:t>General</w:t>
      </w:r>
    </w:p>
    <w:p w:rsidR="004419ED" w:rsidRPr="00AA69ED" w:rsidRDefault="004419ED" w:rsidP="00AA69ED">
      <w:pPr>
        <w:numPr>
          <w:ilvl w:val="0"/>
          <w:numId w:val="4"/>
        </w:numPr>
        <w:autoSpaceDE w:val="0"/>
        <w:autoSpaceDN w:val="0"/>
        <w:adjustRightInd w:val="0"/>
      </w:pPr>
      <w:r w:rsidRPr="00AA69ED">
        <w:t>Special revenue—Street and Highway Fund</w:t>
      </w:r>
    </w:p>
    <w:p w:rsidR="004419ED" w:rsidRPr="00AA69ED" w:rsidRDefault="004419ED" w:rsidP="00AA69ED">
      <w:pPr>
        <w:numPr>
          <w:ilvl w:val="0"/>
          <w:numId w:val="4"/>
        </w:numPr>
        <w:autoSpaceDE w:val="0"/>
        <w:autoSpaceDN w:val="0"/>
        <w:adjustRightInd w:val="0"/>
      </w:pPr>
      <w:r w:rsidRPr="00AA69ED">
        <w:t>Capital projects—City Hall Annex Construction Fund</w:t>
      </w:r>
    </w:p>
    <w:p w:rsidR="004419ED" w:rsidRPr="00AA69ED" w:rsidRDefault="004419ED" w:rsidP="00AA69ED">
      <w:pPr>
        <w:numPr>
          <w:ilvl w:val="0"/>
          <w:numId w:val="4"/>
        </w:numPr>
        <w:autoSpaceDE w:val="0"/>
        <w:autoSpaceDN w:val="0"/>
        <w:adjustRightInd w:val="0"/>
      </w:pPr>
      <w:r w:rsidRPr="00AA69ED">
        <w:t>Debt service—</w:t>
      </w:r>
      <w:r w:rsidR="00B23E31">
        <w:t>City Jail</w:t>
      </w:r>
      <w:r w:rsidRPr="00AA69ED">
        <w:t xml:space="preserve"> Annex Debt Service Fund</w:t>
      </w:r>
    </w:p>
    <w:p w:rsidR="004419ED" w:rsidRDefault="004419ED" w:rsidP="00AA69ED">
      <w:pPr>
        <w:numPr>
          <w:ilvl w:val="0"/>
          <w:numId w:val="4"/>
        </w:numPr>
        <w:autoSpaceDE w:val="0"/>
        <w:autoSpaceDN w:val="0"/>
        <w:adjustRightInd w:val="0"/>
      </w:pPr>
      <w:r w:rsidRPr="00AA69ED">
        <w:t>Debt service—City Hall Debt Service Fund</w:t>
      </w:r>
    </w:p>
    <w:p w:rsidR="00AA69ED" w:rsidRDefault="00AA69ED" w:rsidP="00AA69ED">
      <w:pPr>
        <w:autoSpaceDE w:val="0"/>
        <w:autoSpaceDN w:val="0"/>
        <w:adjustRightInd w:val="0"/>
        <w:ind w:left="360"/>
      </w:pPr>
    </w:p>
    <w:p w:rsidR="00AA69ED" w:rsidRPr="00AA69ED" w:rsidRDefault="00AA69ED" w:rsidP="00AA69ED">
      <w:pPr>
        <w:autoSpaceDE w:val="0"/>
        <w:autoSpaceDN w:val="0"/>
        <w:adjustRightInd w:val="0"/>
      </w:pPr>
      <w:r>
        <w:t>Proprietary Funds</w:t>
      </w:r>
    </w:p>
    <w:p w:rsidR="004419ED" w:rsidRPr="00AA69ED" w:rsidRDefault="004419ED" w:rsidP="00AA69ED">
      <w:pPr>
        <w:numPr>
          <w:ilvl w:val="0"/>
          <w:numId w:val="4"/>
        </w:numPr>
        <w:autoSpaceDE w:val="0"/>
        <w:autoSpaceDN w:val="0"/>
        <w:adjustRightInd w:val="0"/>
      </w:pPr>
      <w:r w:rsidRPr="00AA69ED">
        <w:t>Internal service—Stores and Services Fund</w:t>
      </w:r>
    </w:p>
    <w:p w:rsidR="004419ED" w:rsidRDefault="004419ED" w:rsidP="00AA69ED">
      <w:pPr>
        <w:numPr>
          <w:ilvl w:val="0"/>
          <w:numId w:val="4"/>
        </w:numPr>
        <w:autoSpaceDE w:val="0"/>
        <w:autoSpaceDN w:val="0"/>
        <w:adjustRightInd w:val="0"/>
      </w:pPr>
      <w:smartTag w:uri="urn:schemas-microsoft-com:office:smarttags" w:element="place">
        <w:smartTag w:uri="urn:schemas-microsoft-com:office:smarttags" w:element="City">
          <w:r w:rsidRPr="00AA69ED">
            <w:t>Enterprise</w:t>
          </w:r>
        </w:smartTag>
      </w:smartTag>
      <w:r w:rsidRPr="00AA69ED">
        <w:t>—Water and Sewer Fund</w:t>
      </w:r>
    </w:p>
    <w:p w:rsidR="00AA69ED" w:rsidRDefault="00AA69ED" w:rsidP="00AA69ED">
      <w:pPr>
        <w:autoSpaceDE w:val="0"/>
        <w:autoSpaceDN w:val="0"/>
        <w:adjustRightInd w:val="0"/>
      </w:pPr>
    </w:p>
    <w:p w:rsidR="00AA69ED" w:rsidRPr="00AA69ED" w:rsidRDefault="00AA69ED" w:rsidP="00AA69ED">
      <w:pPr>
        <w:autoSpaceDE w:val="0"/>
        <w:autoSpaceDN w:val="0"/>
        <w:adjustRightInd w:val="0"/>
      </w:pPr>
      <w:r>
        <w:t>Fiduciary Funds</w:t>
      </w:r>
    </w:p>
    <w:p w:rsidR="004419ED" w:rsidRPr="00AA69ED" w:rsidRDefault="004419ED" w:rsidP="00AA69ED">
      <w:pPr>
        <w:numPr>
          <w:ilvl w:val="0"/>
          <w:numId w:val="4"/>
        </w:numPr>
        <w:autoSpaceDE w:val="0"/>
        <w:autoSpaceDN w:val="0"/>
        <w:adjustRightInd w:val="0"/>
      </w:pPr>
      <w:r w:rsidRPr="00AA69ED">
        <w:t>Private-purpose—Student Scholarship Fund</w:t>
      </w:r>
    </w:p>
    <w:p w:rsidR="00CA01FE" w:rsidRPr="00AA69ED" w:rsidRDefault="004419ED" w:rsidP="00AA69ED">
      <w:pPr>
        <w:numPr>
          <w:ilvl w:val="0"/>
          <w:numId w:val="4"/>
        </w:numPr>
      </w:pPr>
      <w:r w:rsidRPr="00AA69ED">
        <w:t>Pension trust—Fire and Police Retirement Fund</w:t>
      </w:r>
    </w:p>
    <w:p w:rsidR="004419ED" w:rsidRPr="00AA69ED" w:rsidRDefault="004419ED" w:rsidP="004419ED">
      <w:pPr>
        <w:autoSpaceDE w:val="0"/>
        <w:autoSpaceDN w:val="0"/>
        <w:adjustRightInd w:val="0"/>
        <w:rPr>
          <w:i/>
          <w:iCs/>
        </w:rPr>
      </w:pPr>
    </w:p>
    <w:p w:rsidR="004419ED" w:rsidRPr="00AA69ED" w:rsidRDefault="004419ED" w:rsidP="00AA69ED">
      <w:pPr>
        <w:autoSpaceDE w:val="0"/>
        <w:autoSpaceDN w:val="0"/>
        <w:adjustRightInd w:val="0"/>
        <w:jc w:val="center"/>
        <w:rPr>
          <w:b/>
          <w:i/>
          <w:iCs/>
          <w:sz w:val="28"/>
          <w:szCs w:val="28"/>
        </w:rPr>
      </w:pPr>
    </w:p>
    <w:p w:rsidR="00AA69ED" w:rsidRPr="00AA69ED" w:rsidRDefault="00AA69ED" w:rsidP="004244CF">
      <w:pPr>
        <w:autoSpaceDE w:val="0"/>
        <w:autoSpaceDN w:val="0"/>
        <w:adjustRightInd w:val="0"/>
        <w:jc w:val="center"/>
        <w:rPr>
          <w:b/>
          <w:i/>
          <w:iCs/>
          <w:sz w:val="28"/>
          <w:szCs w:val="28"/>
        </w:rPr>
      </w:pPr>
      <w:r w:rsidRPr="00AA69ED">
        <w:rPr>
          <w:b/>
          <w:i/>
          <w:iCs/>
          <w:sz w:val="28"/>
          <w:szCs w:val="28"/>
        </w:rPr>
        <w:t>Chapters 3 &amp; 4</w:t>
      </w:r>
    </w:p>
    <w:p w:rsidR="00AA69ED" w:rsidRDefault="00AA69ED" w:rsidP="004419ED">
      <w:pPr>
        <w:autoSpaceDE w:val="0"/>
        <w:autoSpaceDN w:val="0"/>
        <w:adjustRightInd w:val="0"/>
        <w:rPr>
          <w:i/>
          <w:iCs/>
        </w:rPr>
      </w:pPr>
    </w:p>
    <w:p w:rsidR="004419ED" w:rsidRPr="00AA69ED" w:rsidRDefault="004419ED" w:rsidP="004419ED">
      <w:pPr>
        <w:autoSpaceDE w:val="0"/>
        <w:autoSpaceDN w:val="0"/>
        <w:adjustRightInd w:val="0"/>
      </w:pPr>
      <w:r w:rsidRPr="00AA69ED">
        <w:t>The Balance Sheet</w:t>
      </w:r>
      <w:r w:rsidR="005018DE">
        <w:t>s</w:t>
      </w:r>
      <w:r w:rsidRPr="00AA69ED">
        <w:t xml:space="preserve"> of the General Fund </w:t>
      </w:r>
      <w:r w:rsidR="00AA69ED">
        <w:t xml:space="preserve">and the Street and Highway Fund </w:t>
      </w:r>
      <w:r w:rsidRPr="00AA69ED">
        <w:t xml:space="preserve">of the City of </w:t>
      </w:r>
      <w:r w:rsidR="00D446CB">
        <w:t>Monroe</w:t>
      </w:r>
      <w:r w:rsidR="00701BD5" w:rsidRPr="00AA69ED">
        <w:t xml:space="preserve"> </w:t>
      </w:r>
      <w:r w:rsidRPr="00AA69ED">
        <w:t xml:space="preserve">as of December 31, </w:t>
      </w:r>
      <w:r w:rsidR="003537C6">
        <w:t>2019</w:t>
      </w:r>
      <w:r w:rsidR="005018DE">
        <w:t>, follow</w:t>
      </w:r>
      <w:r w:rsidRPr="00AA69ED">
        <w:t xml:space="preserve">. </w:t>
      </w:r>
      <w:r w:rsidR="004244CF">
        <w:t xml:space="preserve">These </w:t>
      </w:r>
      <w:r w:rsidR="005018DE">
        <w:t xml:space="preserve">(beginning) </w:t>
      </w:r>
      <w:r w:rsidR="004244CF">
        <w:t>balances have been entered</w:t>
      </w:r>
      <w:r w:rsidRPr="00AA69ED">
        <w:t xml:space="preserve"> in the proper general ledger accounts, </w:t>
      </w:r>
      <w:r w:rsidR="004244CF">
        <w:t>as of</w:t>
      </w:r>
      <w:r w:rsidRPr="00AA69ED">
        <w:t xml:space="preserve"> 1/1</w:t>
      </w:r>
      <w:r w:rsidR="00AA69ED">
        <w:t>/</w:t>
      </w:r>
      <w:r w:rsidR="003537C6">
        <w:t>2020</w:t>
      </w:r>
      <w:r w:rsidRPr="00AA69ED">
        <w:t>.</w:t>
      </w:r>
    </w:p>
    <w:p w:rsidR="004419ED" w:rsidRPr="00AA69ED" w:rsidRDefault="004419ED" w:rsidP="004419ED">
      <w:pPr>
        <w:autoSpaceDE w:val="0"/>
        <w:autoSpaceDN w:val="0"/>
        <w:adjustRightInd w:val="0"/>
        <w:rPr>
          <w:b/>
          <w:bCs/>
        </w:rPr>
      </w:pPr>
    </w:p>
    <w:p w:rsidR="00701BD5" w:rsidRPr="00AA69ED" w:rsidRDefault="004244CF" w:rsidP="004419ED">
      <w:r>
        <w:br w:type="page"/>
      </w:r>
    </w:p>
    <w:tbl>
      <w:tblPr>
        <w:tblW w:w="6802" w:type="dxa"/>
        <w:tblCellMar>
          <w:left w:w="0" w:type="dxa"/>
          <w:right w:w="0" w:type="dxa"/>
        </w:tblCellMar>
        <w:tblLook w:val="0000"/>
      </w:tblPr>
      <w:tblGrid>
        <w:gridCol w:w="5062"/>
        <w:gridCol w:w="930"/>
        <w:gridCol w:w="930"/>
      </w:tblGrid>
      <w:tr w:rsidR="00833D5F" w:rsidRPr="00AA69ED">
        <w:trPr>
          <w:trHeight w:val="255"/>
        </w:trPr>
        <w:tc>
          <w:tcPr>
            <w:tcW w:w="6802" w:type="dxa"/>
            <w:gridSpan w:val="3"/>
            <w:tcBorders>
              <w:top w:val="nil"/>
              <w:left w:val="nil"/>
              <w:bottom w:val="nil"/>
              <w:right w:val="nil"/>
            </w:tcBorders>
            <w:shd w:val="clear" w:color="auto" w:fill="auto"/>
            <w:noWrap/>
            <w:tcMar>
              <w:top w:w="15" w:type="dxa"/>
              <w:left w:w="15" w:type="dxa"/>
              <w:bottom w:w="0" w:type="dxa"/>
              <w:right w:w="15" w:type="dxa"/>
            </w:tcMar>
            <w:vAlign w:val="bottom"/>
          </w:tcPr>
          <w:p w:rsidR="00833D5F" w:rsidRPr="00AA69ED" w:rsidRDefault="00833D5F">
            <w:pPr>
              <w:jc w:val="center"/>
              <w:rPr>
                <w:b/>
                <w:bCs/>
              </w:rPr>
            </w:pPr>
            <w:r w:rsidRPr="00AA69ED">
              <w:rPr>
                <w:b/>
                <w:bCs/>
              </w:rPr>
              <w:lastRenderedPageBreak/>
              <w:t xml:space="preserve">CITY OF </w:t>
            </w:r>
            <w:smartTag w:uri="urn:schemas-microsoft-com:office:smarttags" w:element="City">
              <w:smartTag w:uri="urn:schemas-microsoft-com:office:smarttags" w:element="place">
                <w:r w:rsidR="00D446CB">
                  <w:rPr>
                    <w:b/>
                    <w:bCs/>
                  </w:rPr>
                  <w:t>MONROE</w:t>
                </w:r>
              </w:smartTag>
            </w:smartTag>
          </w:p>
        </w:tc>
      </w:tr>
      <w:tr w:rsidR="00833D5F" w:rsidRPr="00AA69ED">
        <w:trPr>
          <w:trHeight w:val="255"/>
        </w:trPr>
        <w:tc>
          <w:tcPr>
            <w:tcW w:w="6802" w:type="dxa"/>
            <w:gridSpan w:val="3"/>
            <w:tcBorders>
              <w:top w:val="nil"/>
              <w:left w:val="nil"/>
              <w:bottom w:val="nil"/>
              <w:right w:val="nil"/>
            </w:tcBorders>
            <w:shd w:val="clear" w:color="auto" w:fill="auto"/>
            <w:noWrap/>
            <w:tcMar>
              <w:top w:w="15" w:type="dxa"/>
              <w:left w:w="15" w:type="dxa"/>
              <w:bottom w:w="0" w:type="dxa"/>
              <w:right w:w="15" w:type="dxa"/>
            </w:tcMar>
            <w:vAlign w:val="bottom"/>
          </w:tcPr>
          <w:p w:rsidR="00833D5F" w:rsidRPr="00AA69ED" w:rsidRDefault="00833D5F">
            <w:pPr>
              <w:jc w:val="center"/>
              <w:rPr>
                <w:b/>
                <w:bCs/>
              </w:rPr>
            </w:pPr>
            <w:r w:rsidRPr="00AA69ED">
              <w:rPr>
                <w:b/>
                <w:bCs/>
              </w:rPr>
              <w:t>General Fund Balance Sheet</w:t>
            </w:r>
          </w:p>
        </w:tc>
      </w:tr>
      <w:tr w:rsidR="00833D5F" w:rsidRPr="00AA69ED">
        <w:trPr>
          <w:trHeight w:val="255"/>
        </w:trPr>
        <w:tc>
          <w:tcPr>
            <w:tcW w:w="6802" w:type="dxa"/>
            <w:gridSpan w:val="3"/>
            <w:tcBorders>
              <w:top w:val="nil"/>
              <w:left w:val="nil"/>
              <w:bottom w:val="nil"/>
              <w:right w:val="nil"/>
            </w:tcBorders>
            <w:shd w:val="clear" w:color="auto" w:fill="auto"/>
            <w:noWrap/>
            <w:tcMar>
              <w:top w:w="15" w:type="dxa"/>
              <w:left w:w="15" w:type="dxa"/>
              <w:bottom w:w="0" w:type="dxa"/>
              <w:right w:w="15" w:type="dxa"/>
            </w:tcMar>
            <w:vAlign w:val="bottom"/>
          </w:tcPr>
          <w:p w:rsidR="00833D5F" w:rsidRPr="00AA69ED" w:rsidRDefault="00D00E33">
            <w:pPr>
              <w:jc w:val="center"/>
              <w:rPr>
                <w:b/>
                <w:bCs/>
              </w:rPr>
            </w:pPr>
            <w:r>
              <w:rPr>
                <w:b/>
                <w:bCs/>
              </w:rPr>
              <w:t>As of</w:t>
            </w:r>
            <w:r w:rsidR="00833D5F" w:rsidRPr="00AA69ED">
              <w:rPr>
                <w:b/>
                <w:bCs/>
              </w:rPr>
              <w:t xml:space="preserve"> December 31, </w:t>
            </w:r>
            <w:r w:rsidR="003537C6">
              <w:rPr>
                <w:b/>
                <w:bCs/>
              </w:rPr>
              <w:t>2019</w:t>
            </w:r>
          </w:p>
        </w:tc>
      </w:tr>
      <w:tr w:rsidR="00833D5F" w:rsidRPr="00AA69ED">
        <w:trPr>
          <w:trHeight w:val="255"/>
        </w:trPr>
        <w:tc>
          <w:tcPr>
            <w:tcW w:w="6802" w:type="dxa"/>
            <w:gridSpan w:val="3"/>
            <w:tcBorders>
              <w:top w:val="nil"/>
              <w:left w:val="nil"/>
              <w:bottom w:val="nil"/>
              <w:right w:val="nil"/>
            </w:tcBorders>
            <w:shd w:val="clear" w:color="auto" w:fill="auto"/>
            <w:noWrap/>
            <w:tcMar>
              <w:top w:w="15" w:type="dxa"/>
              <w:left w:w="15" w:type="dxa"/>
              <w:bottom w:w="0" w:type="dxa"/>
              <w:right w:w="15" w:type="dxa"/>
            </w:tcMar>
            <w:vAlign w:val="bottom"/>
          </w:tcPr>
          <w:p w:rsidR="00833D5F" w:rsidRPr="00AA69ED" w:rsidRDefault="00833D5F">
            <w:pPr>
              <w:jc w:val="center"/>
              <w:rPr>
                <w:i/>
                <w:iCs/>
                <w:u w:val="single"/>
              </w:rPr>
            </w:pPr>
            <w:r w:rsidRPr="00AA69ED">
              <w:rPr>
                <w:i/>
                <w:iCs/>
                <w:u w:val="single"/>
              </w:rPr>
              <w:t>Assets</w:t>
            </w:r>
          </w:p>
        </w:tc>
      </w:tr>
      <w:tr w:rsidR="00833D5F" w:rsidRPr="00AA69ED">
        <w:trPr>
          <w:trHeight w:val="255"/>
        </w:trPr>
        <w:tc>
          <w:tcPr>
            <w:tcW w:w="0" w:type="auto"/>
            <w:tcBorders>
              <w:top w:val="nil"/>
              <w:left w:val="nil"/>
              <w:bottom w:val="nil"/>
              <w:right w:val="nil"/>
            </w:tcBorders>
            <w:shd w:val="clear" w:color="auto" w:fill="auto"/>
            <w:noWrap/>
            <w:tcMar>
              <w:top w:w="15" w:type="dxa"/>
              <w:left w:w="15" w:type="dxa"/>
              <w:bottom w:w="0" w:type="dxa"/>
              <w:right w:w="15" w:type="dxa"/>
            </w:tcMar>
            <w:vAlign w:val="bottom"/>
          </w:tcPr>
          <w:p w:rsidR="00833D5F" w:rsidRPr="00AA69ED" w:rsidRDefault="00833D5F">
            <w:r w:rsidRPr="00AA69ED">
              <w:t>Cash</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rsidR="00833D5F" w:rsidRPr="00AA69ED" w:rsidRDefault="00833D5F"/>
        </w:tc>
        <w:tc>
          <w:tcPr>
            <w:tcW w:w="930" w:type="dxa"/>
            <w:tcBorders>
              <w:top w:val="nil"/>
              <w:left w:val="nil"/>
              <w:bottom w:val="nil"/>
              <w:right w:val="nil"/>
            </w:tcBorders>
            <w:shd w:val="clear" w:color="auto" w:fill="auto"/>
            <w:noWrap/>
            <w:tcMar>
              <w:top w:w="15" w:type="dxa"/>
              <w:left w:w="15" w:type="dxa"/>
              <w:bottom w:w="0" w:type="dxa"/>
              <w:right w:w="15" w:type="dxa"/>
            </w:tcMar>
            <w:vAlign w:val="bottom"/>
          </w:tcPr>
          <w:p w:rsidR="00833D5F" w:rsidRPr="00AA69ED" w:rsidRDefault="00AE441C" w:rsidP="007E149B">
            <w:pPr>
              <w:jc w:val="right"/>
            </w:pPr>
            <w:r>
              <w:t>$</w:t>
            </w:r>
            <w:r w:rsidR="007E149B">
              <w:t>503</w:t>
            </w:r>
            <w:r w:rsidR="00833D5F" w:rsidRPr="00AA69ED">
              <w:t xml:space="preserve">,000 </w:t>
            </w:r>
          </w:p>
        </w:tc>
      </w:tr>
      <w:tr w:rsidR="00833D5F" w:rsidRPr="00AA69ED">
        <w:trPr>
          <w:trHeight w:val="255"/>
        </w:trPr>
        <w:tc>
          <w:tcPr>
            <w:tcW w:w="0" w:type="auto"/>
            <w:tcBorders>
              <w:top w:val="nil"/>
              <w:left w:val="nil"/>
              <w:bottom w:val="nil"/>
              <w:right w:val="nil"/>
            </w:tcBorders>
            <w:shd w:val="clear" w:color="auto" w:fill="auto"/>
            <w:noWrap/>
            <w:tcMar>
              <w:top w:w="15" w:type="dxa"/>
              <w:left w:w="15" w:type="dxa"/>
              <w:bottom w:w="0" w:type="dxa"/>
              <w:right w:w="15" w:type="dxa"/>
            </w:tcMar>
            <w:vAlign w:val="bottom"/>
          </w:tcPr>
          <w:p w:rsidR="00833D5F" w:rsidRPr="00AA69ED" w:rsidRDefault="00833D5F" w:rsidP="000424D1">
            <w:r w:rsidRPr="00AA69ED">
              <w:t xml:space="preserve">Taxes receivable </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rsidR="00833D5F" w:rsidRPr="00AA69ED" w:rsidRDefault="00833D5F">
            <w:pPr>
              <w:jc w:val="right"/>
            </w:pPr>
            <w:r w:rsidRPr="00AA69ED">
              <w:t>$21</w:t>
            </w:r>
            <w:r w:rsidR="00AE441C">
              <w:t>0,000</w:t>
            </w:r>
            <w:r w:rsidRPr="00AA69ED">
              <w:t xml:space="preserve"> </w:t>
            </w:r>
          </w:p>
        </w:tc>
        <w:tc>
          <w:tcPr>
            <w:tcW w:w="930" w:type="dxa"/>
            <w:tcBorders>
              <w:top w:val="nil"/>
              <w:left w:val="nil"/>
              <w:bottom w:val="nil"/>
              <w:right w:val="nil"/>
            </w:tcBorders>
            <w:shd w:val="clear" w:color="auto" w:fill="auto"/>
            <w:noWrap/>
            <w:tcMar>
              <w:top w:w="15" w:type="dxa"/>
              <w:left w:w="15" w:type="dxa"/>
              <w:bottom w:w="0" w:type="dxa"/>
              <w:right w:w="15" w:type="dxa"/>
            </w:tcMar>
            <w:vAlign w:val="bottom"/>
          </w:tcPr>
          <w:p w:rsidR="00833D5F" w:rsidRPr="00AA69ED" w:rsidRDefault="00833D5F"/>
        </w:tc>
      </w:tr>
      <w:tr w:rsidR="00833D5F" w:rsidRPr="00AA69ED">
        <w:trPr>
          <w:trHeight w:val="255"/>
        </w:trPr>
        <w:tc>
          <w:tcPr>
            <w:tcW w:w="0" w:type="auto"/>
            <w:tcBorders>
              <w:top w:val="nil"/>
              <w:left w:val="nil"/>
              <w:bottom w:val="nil"/>
              <w:right w:val="nil"/>
            </w:tcBorders>
            <w:shd w:val="clear" w:color="auto" w:fill="auto"/>
            <w:noWrap/>
            <w:tcMar>
              <w:top w:w="15" w:type="dxa"/>
              <w:left w:w="15" w:type="dxa"/>
              <w:bottom w:w="0" w:type="dxa"/>
              <w:right w:w="15" w:type="dxa"/>
            </w:tcMar>
            <w:vAlign w:val="bottom"/>
          </w:tcPr>
          <w:p w:rsidR="00833D5F" w:rsidRPr="00AA69ED" w:rsidRDefault="00A456C1" w:rsidP="000424D1">
            <w:r>
              <w:t xml:space="preserve">  </w:t>
            </w:r>
            <w:r w:rsidR="00833D5F" w:rsidRPr="00AA69ED">
              <w:t xml:space="preserve">Less: Estimated uncollectible taxes </w:t>
            </w:r>
          </w:p>
        </w:tc>
        <w:tc>
          <w:tcPr>
            <w:tcW w:w="0" w:type="auto"/>
            <w:tcBorders>
              <w:top w:val="nil"/>
              <w:left w:val="nil"/>
              <w:bottom w:val="single" w:sz="4" w:space="0" w:color="auto"/>
              <w:right w:val="nil"/>
            </w:tcBorders>
            <w:shd w:val="clear" w:color="auto" w:fill="auto"/>
            <w:noWrap/>
            <w:tcMar>
              <w:top w:w="15" w:type="dxa"/>
              <w:left w:w="15" w:type="dxa"/>
              <w:bottom w:w="0" w:type="dxa"/>
              <w:right w:w="15" w:type="dxa"/>
            </w:tcMar>
            <w:vAlign w:val="bottom"/>
          </w:tcPr>
          <w:p w:rsidR="00833D5F" w:rsidRPr="00AA69ED" w:rsidRDefault="004244CF" w:rsidP="00341CD8">
            <w:pPr>
              <w:jc w:val="right"/>
            </w:pPr>
            <w:r>
              <w:t>(</w:t>
            </w:r>
            <w:r w:rsidR="00341CD8">
              <w:t>37</w:t>
            </w:r>
            <w:r w:rsidR="00AE441C">
              <w:t>,000</w:t>
            </w:r>
            <w:r>
              <w:t>)</w:t>
            </w:r>
          </w:p>
        </w:tc>
        <w:tc>
          <w:tcPr>
            <w:tcW w:w="930" w:type="dxa"/>
            <w:tcBorders>
              <w:top w:val="nil"/>
              <w:left w:val="nil"/>
              <w:bottom w:val="nil"/>
              <w:right w:val="nil"/>
            </w:tcBorders>
            <w:shd w:val="clear" w:color="auto" w:fill="auto"/>
            <w:noWrap/>
            <w:tcMar>
              <w:top w:w="15" w:type="dxa"/>
              <w:left w:w="15" w:type="dxa"/>
              <w:bottom w:w="0" w:type="dxa"/>
              <w:right w:w="15" w:type="dxa"/>
            </w:tcMar>
            <w:vAlign w:val="bottom"/>
          </w:tcPr>
          <w:p w:rsidR="00833D5F" w:rsidRPr="00AA69ED" w:rsidRDefault="00833D5F"/>
        </w:tc>
      </w:tr>
      <w:tr w:rsidR="00833D5F" w:rsidRPr="00AA69ED">
        <w:trPr>
          <w:trHeight w:val="255"/>
        </w:trPr>
        <w:tc>
          <w:tcPr>
            <w:tcW w:w="0" w:type="auto"/>
            <w:tcBorders>
              <w:top w:val="nil"/>
              <w:left w:val="nil"/>
              <w:bottom w:val="nil"/>
              <w:right w:val="nil"/>
            </w:tcBorders>
            <w:shd w:val="clear" w:color="auto" w:fill="auto"/>
            <w:noWrap/>
            <w:tcMar>
              <w:top w:w="15" w:type="dxa"/>
              <w:left w:w="15" w:type="dxa"/>
              <w:bottom w:w="0" w:type="dxa"/>
              <w:right w:w="15" w:type="dxa"/>
            </w:tcMar>
            <w:vAlign w:val="bottom"/>
          </w:tcPr>
          <w:p w:rsidR="00833D5F" w:rsidRPr="00AA69ED" w:rsidRDefault="00971607">
            <w:r>
              <w:t xml:space="preserve">   net</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rsidR="00833D5F" w:rsidRPr="00AA69ED" w:rsidRDefault="00833D5F"/>
        </w:tc>
        <w:tc>
          <w:tcPr>
            <w:tcW w:w="930" w:type="dxa"/>
            <w:tcBorders>
              <w:top w:val="nil"/>
              <w:left w:val="nil"/>
              <w:bottom w:val="nil"/>
              <w:right w:val="nil"/>
            </w:tcBorders>
            <w:shd w:val="clear" w:color="auto" w:fill="auto"/>
            <w:noWrap/>
            <w:tcMar>
              <w:top w:w="15" w:type="dxa"/>
              <w:left w:w="15" w:type="dxa"/>
              <w:bottom w:w="0" w:type="dxa"/>
              <w:right w:w="15" w:type="dxa"/>
            </w:tcMar>
            <w:vAlign w:val="bottom"/>
          </w:tcPr>
          <w:p w:rsidR="00833D5F" w:rsidRPr="00AA69ED" w:rsidRDefault="00AE441C" w:rsidP="00341CD8">
            <w:pPr>
              <w:jc w:val="right"/>
            </w:pPr>
            <w:r>
              <w:t>1</w:t>
            </w:r>
            <w:r w:rsidR="00341CD8">
              <w:t>73</w:t>
            </w:r>
            <w:r>
              <w:t>,000</w:t>
            </w:r>
          </w:p>
        </w:tc>
      </w:tr>
      <w:tr w:rsidR="00833D5F" w:rsidRPr="00AA69ED">
        <w:trPr>
          <w:trHeight w:val="255"/>
        </w:trPr>
        <w:tc>
          <w:tcPr>
            <w:tcW w:w="0" w:type="auto"/>
            <w:tcBorders>
              <w:top w:val="nil"/>
              <w:left w:val="nil"/>
              <w:bottom w:val="nil"/>
              <w:right w:val="nil"/>
            </w:tcBorders>
            <w:shd w:val="clear" w:color="auto" w:fill="auto"/>
            <w:noWrap/>
            <w:tcMar>
              <w:top w:w="15" w:type="dxa"/>
              <w:left w:w="15" w:type="dxa"/>
              <w:bottom w:w="0" w:type="dxa"/>
              <w:right w:w="15" w:type="dxa"/>
            </w:tcMar>
            <w:vAlign w:val="bottom"/>
          </w:tcPr>
          <w:p w:rsidR="00833D5F" w:rsidRPr="00AA69ED" w:rsidRDefault="00833D5F">
            <w:r w:rsidRPr="00AA69ED">
              <w:t xml:space="preserve">Interest and penalties receivable on taxes </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rsidR="00833D5F" w:rsidRPr="00AA69ED" w:rsidRDefault="00AE441C">
            <w:pPr>
              <w:jc w:val="right"/>
            </w:pPr>
            <w:r>
              <w:t>5,200</w:t>
            </w:r>
          </w:p>
        </w:tc>
        <w:tc>
          <w:tcPr>
            <w:tcW w:w="930" w:type="dxa"/>
            <w:tcBorders>
              <w:top w:val="nil"/>
              <w:left w:val="nil"/>
              <w:bottom w:val="nil"/>
              <w:right w:val="nil"/>
            </w:tcBorders>
            <w:shd w:val="clear" w:color="auto" w:fill="auto"/>
            <w:noWrap/>
            <w:tcMar>
              <w:top w:w="15" w:type="dxa"/>
              <w:left w:w="15" w:type="dxa"/>
              <w:bottom w:w="0" w:type="dxa"/>
              <w:right w:w="15" w:type="dxa"/>
            </w:tcMar>
            <w:vAlign w:val="bottom"/>
          </w:tcPr>
          <w:p w:rsidR="00833D5F" w:rsidRPr="00AA69ED" w:rsidRDefault="00833D5F"/>
        </w:tc>
      </w:tr>
      <w:tr w:rsidR="00833D5F" w:rsidRPr="00AA69ED">
        <w:trPr>
          <w:trHeight w:val="255"/>
        </w:trPr>
        <w:tc>
          <w:tcPr>
            <w:tcW w:w="0" w:type="auto"/>
            <w:tcBorders>
              <w:top w:val="nil"/>
              <w:left w:val="nil"/>
              <w:bottom w:val="nil"/>
              <w:right w:val="nil"/>
            </w:tcBorders>
            <w:shd w:val="clear" w:color="auto" w:fill="auto"/>
            <w:noWrap/>
            <w:tcMar>
              <w:top w:w="15" w:type="dxa"/>
              <w:left w:w="15" w:type="dxa"/>
              <w:bottom w:w="0" w:type="dxa"/>
              <w:right w:w="15" w:type="dxa"/>
            </w:tcMar>
            <w:vAlign w:val="bottom"/>
          </w:tcPr>
          <w:p w:rsidR="00833D5F" w:rsidRPr="00AA69ED" w:rsidRDefault="00A456C1">
            <w:r>
              <w:t xml:space="preserve">  </w:t>
            </w:r>
            <w:r w:rsidR="00833D5F" w:rsidRPr="00AA69ED">
              <w:t xml:space="preserve">Less: Estimated uncollectible interest and penalties </w:t>
            </w:r>
          </w:p>
        </w:tc>
        <w:tc>
          <w:tcPr>
            <w:tcW w:w="0" w:type="auto"/>
            <w:tcBorders>
              <w:top w:val="nil"/>
              <w:left w:val="nil"/>
              <w:bottom w:val="single" w:sz="4" w:space="0" w:color="auto"/>
              <w:right w:val="nil"/>
            </w:tcBorders>
            <w:shd w:val="clear" w:color="auto" w:fill="auto"/>
            <w:noWrap/>
            <w:tcMar>
              <w:top w:w="15" w:type="dxa"/>
              <w:left w:w="15" w:type="dxa"/>
              <w:bottom w:w="0" w:type="dxa"/>
              <w:right w:w="15" w:type="dxa"/>
            </w:tcMar>
            <w:vAlign w:val="bottom"/>
          </w:tcPr>
          <w:p w:rsidR="00833D5F" w:rsidRPr="00AA69ED" w:rsidRDefault="004244CF">
            <w:pPr>
              <w:jc w:val="right"/>
            </w:pPr>
            <w:r>
              <w:t>(</w:t>
            </w:r>
            <w:r w:rsidR="00AE441C">
              <w:t>950</w:t>
            </w:r>
            <w:r>
              <w:t>)</w:t>
            </w:r>
          </w:p>
        </w:tc>
        <w:tc>
          <w:tcPr>
            <w:tcW w:w="930" w:type="dxa"/>
            <w:tcBorders>
              <w:top w:val="nil"/>
              <w:left w:val="nil"/>
              <w:bottom w:val="nil"/>
              <w:right w:val="nil"/>
            </w:tcBorders>
            <w:shd w:val="clear" w:color="auto" w:fill="auto"/>
            <w:noWrap/>
            <w:tcMar>
              <w:top w:w="15" w:type="dxa"/>
              <w:left w:w="15" w:type="dxa"/>
              <w:bottom w:w="0" w:type="dxa"/>
              <w:right w:w="15" w:type="dxa"/>
            </w:tcMar>
            <w:vAlign w:val="bottom"/>
          </w:tcPr>
          <w:p w:rsidR="00833D5F" w:rsidRPr="00AA69ED" w:rsidRDefault="00833D5F"/>
        </w:tc>
      </w:tr>
      <w:tr w:rsidR="00833D5F" w:rsidRPr="00AA69ED">
        <w:trPr>
          <w:trHeight w:val="255"/>
        </w:trPr>
        <w:tc>
          <w:tcPr>
            <w:tcW w:w="0" w:type="auto"/>
            <w:tcBorders>
              <w:top w:val="nil"/>
              <w:left w:val="nil"/>
              <w:bottom w:val="nil"/>
              <w:right w:val="nil"/>
            </w:tcBorders>
            <w:shd w:val="clear" w:color="auto" w:fill="auto"/>
            <w:noWrap/>
            <w:tcMar>
              <w:top w:w="15" w:type="dxa"/>
              <w:left w:w="15" w:type="dxa"/>
              <w:bottom w:w="0" w:type="dxa"/>
              <w:right w:w="15" w:type="dxa"/>
            </w:tcMar>
            <w:vAlign w:val="bottom"/>
          </w:tcPr>
          <w:p w:rsidR="00833D5F" w:rsidRPr="00AA69ED" w:rsidRDefault="00971607">
            <w:r>
              <w:t xml:space="preserve">   net</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rsidR="00833D5F" w:rsidRPr="00AA69ED" w:rsidRDefault="00833D5F"/>
        </w:tc>
        <w:tc>
          <w:tcPr>
            <w:tcW w:w="930" w:type="dxa"/>
            <w:tcBorders>
              <w:top w:val="nil"/>
              <w:left w:val="nil"/>
              <w:bottom w:val="nil"/>
              <w:right w:val="nil"/>
            </w:tcBorders>
            <w:shd w:val="clear" w:color="auto" w:fill="auto"/>
            <w:noWrap/>
            <w:tcMar>
              <w:top w:w="15" w:type="dxa"/>
              <w:left w:w="15" w:type="dxa"/>
              <w:bottom w:w="0" w:type="dxa"/>
              <w:right w:w="15" w:type="dxa"/>
            </w:tcMar>
            <w:vAlign w:val="bottom"/>
          </w:tcPr>
          <w:p w:rsidR="00833D5F" w:rsidRPr="00AA69ED" w:rsidRDefault="00AE441C">
            <w:pPr>
              <w:jc w:val="right"/>
            </w:pPr>
            <w:r>
              <w:t>4,250</w:t>
            </w:r>
          </w:p>
        </w:tc>
      </w:tr>
      <w:tr w:rsidR="00833D5F" w:rsidRPr="00AA69ED">
        <w:trPr>
          <w:trHeight w:val="255"/>
        </w:trPr>
        <w:tc>
          <w:tcPr>
            <w:tcW w:w="0" w:type="auto"/>
            <w:tcBorders>
              <w:top w:val="nil"/>
              <w:left w:val="nil"/>
              <w:bottom w:val="nil"/>
              <w:right w:val="nil"/>
            </w:tcBorders>
            <w:shd w:val="clear" w:color="auto" w:fill="auto"/>
            <w:noWrap/>
            <w:tcMar>
              <w:top w:w="15" w:type="dxa"/>
              <w:left w:w="15" w:type="dxa"/>
              <w:bottom w:w="0" w:type="dxa"/>
              <w:right w:w="15" w:type="dxa"/>
            </w:tcMar>
            <w:vAlign w:val="bottom"/>
          </w:tcPr>
          <w:p w:rsidR="00833D5F" w:rsidRPr="00AA69ED" w:rsidRDefault="00833D5F">
            <w:r w:rsidRPr="00AA69ED">
              <w:t xml:space="preserve">Due from state government </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rsidR="00833D5F" w:rsidRPr="00AA69ED" w:rsidRDefault="00833D5F"/>
        </w:tc>
        <w:tc>
          <w:tcPr>
            <w:tcW w:w="930" w:type="dxa"/>
            <w:tcBorders>
              <w:top w:val="nil"/>
              <w:left w:val="nil"/>
              <w:bottom w:val="single" w:sz="4" w:space="0" w:color="auto"/>
              <w:right w:val="nil"/>
            </w:tcBorders>
            <w:shd w:val="clear" w:color="auto" w:fill="auto"/>
            <w:noWrap/>
            <w:tcMar>
              <w:top w:w="15" w:type="dxa"/>
              <w:left w:w="15" w:type="dxa"/>
              <w:bottom w:w="0" w:type="dxa"/>
              <w:right w:w="15" w:type="dxa"/>
            </w:tcMar>
            <w:vAlign w:val="bottom"/>
          </w:tcPr>
          <w:p w:rsidR="00833D5F" w:rsidRPr="00AA69ED" w:rsidRDefault="00AE441C" w:rsidP="007E149B">
            <w:pPr>
              <w:jc w:val="right"/>
            </w:pPr>
            <w:r>
              <w:t>2</w:t>
            </w:r>
            <w:r w:rsidR="007E149B">
              <w:t>04</w:t>
            </w:r>
            <w:r w:rsidR="00833D5F" w:rsidRPr="00AA69ED">
              <w:t>,000</w:t>
            </w:r>
          </w:p>
        </w:tc>
      </w:tr>
      <w:tr w:rsidR="00833D5F" w:rsidRPr="00AA69ED">
        <w:trPr>
          <w:trHeight w:val="270"/>
        </w:trPr>
        <w:tc>
          <w:tcPr>
            <w:tcW w:w="0" w:type="auto"/>
            <w:tcBorders>
              <w:top w:val="nil"/>
              <w:left w:val="nil"/>
              <w:bottom w:val="nil"/>
              <w:right w:val="nil"/>
            </w:tcBorders>
            <w:shd w:val="clear" w:color="auto" w:fill="auto"/>
            <w:noWrap/>
            <w:tcMar>
              <w:top w:w="15" w:type="dxa"/>
              <w:left w:w="15" w:type="dxa"/>
              <w:bottom w:w="0" w:type="dxa"/>
              <w:right w:w="15" w:type="dxa"/>
            </w:tcMar>
            <w:vAlign w:val="bottom"/>
          </w:tcPr>
          <w:p w:rsidR="00833D5F" w:rsidRPr="00AA69ED" w:rsidRDefault="00833D5F">
            <w:r w:rsidRPr="00AA69ED">
              <w:t xml:space="preserve">Total assets </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rsidR="00833D5F" w:rsidRPr="00AA69ED" w:rsidRDefault="00833D5F"/>
        </w:tc>
        <w:tc>
          <w:tcPr>
            <w:tcW w:w="930" w:type="dxa"/>
            <w:tcBorders>
              <w:top w:val="nil"/>
              <w:left w:val="nil"/>
              <w:bottom w:val="double" w:sz="6" w:space="0" w:color="auto"/>
              <w:right w:val="nil"/>
            </w:tcBorders>
            <w:shd w:val="clear" w:color="auto" w:fill="auto"/>
            <w:noWrap/>
            <w:tcMar>
              <w:top w:w="15" w:type="dxa"/>
              <w:left w:w="15" w:type="dxa"/>
              <w:bottom w:w="0" w:type="dxa"/>
              <w:right w:w="15" w:type="dxa"/>
            </w:tcMar>
            <w:vAlign w:val="bottom"/>
          </w:tcPr>
          <w:p w:rsidR="00833D5F" w:rsidRPr="00AA69ED" w:rsidRDefault="00833D5F" w:rsidP="008939AF">
            <w:pPr>
              <w:jc w:val="right"/>
            </w:pPr>
            <w:r w:rsidRPr="00AA69ED">
              <w:t>$</w:t>
            </w:r>
            <w:r w:rsidR="00CC4CA2">
              <w:t>8</w:t>
            </w:r>
            <w:r w:rsidR="008939AF">
              <w:t>84,250</w:t>
            </w:r>
            <w:r w:rsidRPr="00AA69ED">
              <w:t xml:space="preserve"> </w:t>
            </w:r>
          </w:p>
        </w:tc>
      </w:tr>
      <w:tr w:rsidR="00833D5F" w:rsidRPr="00AA69ED">
        <w:trPr>
          <w:trHeight w:val="270"/>
        </w:trPr>
        <w:tc>
          <w:tcPr>
            <w:tcW w:w="6802" w:type="dxa"/>
            <w:gridSpan w:val="3"/>
            <w:tcBorders>
              <w:top w:val="nil"/>
              <w:left w:val="nil"/>
              <w:bottom w:val="nil"/>
              <w:right w:val="nil"/>
            </w:tcBorders>
            <w:shd w:val="clear" w:color="auto" w:fill="auto"/>
            <w:noWrap/>
            <w:tcMar>
              <w:top w:w="15" w:type="dxa"/>
              <w:left w:w="15" w:type="dxa"/>
              <w:bottom w:w="0" w:type="dxa"/>
              <w:right w:w="15" w:type="dxa"/>
            </w:tcMar>
            <w:vAlign w:val="bottom"/>
          </w:tcPr>
          <w:p w:rsidR="00833D5F" w:rsidRPr="00AA69ED" w:rsidRDefault="00833D5F">
            <w:pPr>
              <w:jc w:val="center"/>
              <w:rPr>
                <w:i/>
                <w:iCs/>
                <w:u w:val="single"/>
              </w:rPr>
            </w:pPr>
            <w:r w:rsidRPr="00AA69ED">
              <w:rPr>
                <w:i/>
                <w:iCs/>
                <w:u w:val="single"/>
              </w:rPr>
              <w:t>Liabilities</w:t>
            </w:r>
            <w:r w:rsidR="003818AD">
              <w:rPr>
                <w:i/>
                <w:iCs/>
                <w:u w:val="single"/>
              </w:rPr>
              <w:t>, Deferred Inflows,</w:t>
            </w:r>
            <w:r w:rsidRPr="00AA69ED">
              <w:rPr>
                <w:i/>
                <w:iCs/>
                <w:u w:val="single"/>
              </w:rPr>
              <w:t xml:space="preserve"> and Fund Equity</w:t>
            </w:r>
          </w:p>
        </w:tc>
      </w:tr>
      <w:tr w:rsidR="00833D5F" w:rsidRPr="00AA69ED">
        <w:trPr>
          <w:trHeight w:val="255"/>
        </w:trPr>
        <w:tc>
          <w:tcPr>
            <w:tcW w:w="0" w:type="auto"/>
            <w:tcBorders>
              <w:top w:val="nil"/>
              <w:left w:val="nil"/>
              <w:bottom w:val="nil"/>
              <w:right w:val="nil"/>
            </w:tcBorders>
            <w:shd w:val="clear" w:color="auto" w:fill="auto"/>
            <w:noWrap/>
            <w:tcMar>
              <w:top w:w="15" w:type="dxa"/>
              <w:left w:w="15" w:type="dxa"/>
              <w:bottom w:w="0" w:type="dxa"/>
              <w:right w:w="15" w:type="dxa"/>
            </w:tcMar>
            <w:vAlign w:val="bottom"/>
          </w:tcPr>
          <w:p w:rsidR="00833D5F" w:rsidRPr="00AA69ED" w:rsidRDefault="00833D5F">
            <w:r w:rsidRPr="00AA69ED">
              <w:t>Liabilities:</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rsidR="00833D5F" w:rsidRPr="00AA69ED" w:rsidRDefault="00833D5F"/>
        </w:tc>
        <w:tc>
          <w:tcPr>
            <w:tcW w:w="930" w:type="dxa"/>
            <w:tcBorders>
              <w:top w:val="nil"/>
              <w:left w:val="nil"/>
              <w:bottom w:val="nil"/>
              <w:right w:val="nil"/>
            </w:tcBorders>
            <w:shd w:val="clear" w:color="auto" w:fill="auto"/>
            <w:noWrap/>
            <w:tcMar>
              <w:top w:w="15" w:type="dxa"/>
              <w:left w:w="15" w:type="dxa"/>
              <w:bottom w:w="0" w:type="dxa"/>
              <w:right w:w="15" w:type="dxa"/>
            </w:tcMar>
            <w:vAlign w:val="bottom"/>
          </w:tcPr>
          <w:p w:rsidR="00833D5F" w:rsidRPr="00AA69ED" w:rsidRDefault="00833D5F"/>
        </w:tc>
      </w:tr>
      <w:tr w:rsidR="00833D5F" w:rsidRPr="00AA69ED" w:rsidTr="003818AD">
        <w:trPr>
          <w:trHeight w:val="255"/>
        </w:trPr>
        <w:tc>
          <w:tcPr>
            <w:tcW w:w="0" w:type="auto"/>
            <w:tcBorders>
              <w:top w:val="nil"/>
              <w:left w:val="nil"/>
              <w:bottom w:val="nil"/>
              <w:right w:val="nil"/>
            </w:tcBorders>
            <w:shd w:val="clear" w:color="auto" w:fill="auto"/>
            <w:noWrap/>
            <w:tcMar>
              <w:top w:w="15" w:type="dxa"/>
              <w:left w:w="180" w:type="dxa"/>
              <w:bottom w:w="0" w:type="dxa"/>
              <w:right w:w="15" w:type="dxa"/>
            </w:tcMar>
            <w:vAlign w:val="bottom"/>
          </w:tcPr>
          <w:p w:rsidR="00833D5F" w:rsidRPr="00AA69ED" w:rsidRDefault="00833D5F" w:rsidP="00AA69ED">
            <w:pPr>
              <w:ind w:firstLineChars="100" w:firstLine="240"/>
            </w:pPr>
            <w:r w:rsidRPr="00AA69ED">
              <w:t xml:space="preserve">Accounts payable </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rsidR="00833D5F" w:rsidRPr="00AA69ED" w:rsidRDefault="00833D5F"/>
        </w:tc>
        <w:tc>
          <w:tcPr>
            <w:tcW w:w="930" w:type="dxa"/>
            <w:tcBorders>
              <w:top w:val="nil"/>
              <w:left w:val="nil"/>
              <w:right w:val="nil"/>
            </w:tcBorders>
            <w:shd w:val="clear" w:color="auto" w:fill="auto"/>
            <w:noWrap/>
            <w:tcMar>
              <w:top w:w="15" w:type="dxa"/>
              <w:left w:w="15" w:type="dxa"/>
              <w:bottom w:w="0" w:type="dxa"/>
              <w:right w:w="15" w:type="dxa"/>
            </w:tcMar>
            <w:vAlign w:val="bottom"/>
          </w:tcPr>
          <w:p w:rsidR="00833D5F" w:rsidRPr="00AA69ED" w:rsidRDefault="008939AF">
            <w:pPr>
              <w:jc w:val="right"/>
            </w:pPr>
            <w:r>
              <w:t>$ 99</w:t>
            </w:r>
            <w:r w:rsidR="00AE441C">
              <w:t>,000</w:t>
            </w:r>
            <w:r w:rsidR="00833D5F" w:rsidRPr="00AA69ED">
              <w:t xml:space="preserve"> </w:t>
            </w:r>
          </w:p>
        </w:tc>
      </w:tr>
      <w:tr w:rsidR="00833D5F" w:rsidRPr="00AA69ED" w:rsidTr="003818AD">
        <w:trPr>
          <w:trHeight w:val="255"/>
        </w:trPr>
        <w:tc>
          <w:tcPr>
            <w:tcW w:w="0" w:type="auto"/>
            <w:tcBorders>
              <w:top w:val="nil"/>
              <w:left w:val="nil"/>
              <w:bottom w:val="nil"/>
              <w:right w:val="nil"/>
            </w:tcBorders>
            <w:shd w:val="clear" w:color="auto" w:fill="auto"/>
            <w:noWrap/>
            <w:tcMar>
              <w:top w:w="15" w:type="dxa"/>
              <w:left w:w="180" w:type="dxa"/>
              <w:bottom w:w="0" w:type="dxa"/>
              <w:right w:w="15" w:type="dxa"/>
            </w:tcMar>
            <w:vAlign w:val="bottom"/>
          </w:tcPr>
          <w:p w:rsidR="00833D5F" w:rsidRPr="00AA69ED" w:rsidRDefault="00833D5F" w:rsidP="00AA69ED">
            <w:pPr>
              <w:ind w:firstLineChars="100" w:firstLine="240"/>
            </w:pPr>
            <w:r w:rsidRPr="00AA69ED">
              <w:t xml:space="preserve">Due to other funds </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rsidR="00833D5F" w:rsidRPr="00AA69ED" w:rsidRDefault="00833D5F"/>
        </w:tc>
        <w:tc>
          <w:tcPr>
            <w:tcW w:w="930" w:type="dxa"/>
            <w:tcBorders>
              <w:top w:val="nil"/>
              <w:left w:val="nil"/>
              <w:bottom w:val="single" w:sz="4" w:space="0" w:color="auto"/>
              <w:right w:val="nil"/>
            </w:tcBorders>
            <w:shd w:val="clear" w:color="auto" w:fill="auto"/>
            <w:noWrap/>
            <w:tcMar>
              <w:top w:w="15" w:type="dxa"/>
              <w:left w:w="15" w:type="dxa"/>
              <w:bottom w:w="0" w:type="dxa"/>
              <w:right w:w="15" w:type="dxa"/>
            </w:tcMar>
            <w:vAlign w:val="bottom"/>
          </w:tcPr>
          <w:p w:rsidR="00833D5F" w:rsidRPr="00AA69ED" w:rsidRDefault="00AE441C">
            <w:pPr>
              <w:jc w:val="right"/>
            </w:pPr>
            <w:r>
              <w:t>27,000</w:t>
            </w:r>
          </w:p>
        </w:tc>
      </w:tr>
      <w:tr w:rsidR="00833D5F" w:rsidRPr="00AA69ED" w:rsidTr="003818AD">
        <w:trPr>
          <w:trHeight w:val="255"/>
        </w:trPr>
        <w:tc>
          <w:tcPr>
            <w:tcW w:w="0" w:type="auto"/>
            <w:tcBorders>
              <w:top w:val="nil"/>
              <w:left w:val="nil"/>
              <w:bottom w:val="nil"/>
              <w:right w:val="nil"/>
            </w:tcBorders>
            <w:shd w:val="clear" w:color="auto" w:fill="auto"/>
            <w:noWrap/>
            <w:tcMar>
              <w:top w:w="15" w:type="dxa"/>
              <w:left w:w="180" w:type="dxa"/>
              <w:bottom w:w="0" w:type="dxa"/>
              <w:right w:w="15" w:type="dxa"/>
            </w:tcMar>
            <w:vAlign w:val="bottom"/>
          </w:tcPr>
          <w:p w:rsidR="00833D5F" w:rsidRPr="00AA69ED" w:rsidRDefault="00833D5F" w:rsidP="00AA69ED">
            <w:pPr>
              <w:ind w:firstLineChars="100" w:firstLine="240"/>
            </w:pPr>
            <w:r w:rsidRPr="00AA69ED">
              <w:t xml:space="preserve">Total liabilities </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rsidR="00833D5F" w:rsidRPr="00AA69ED" w:rsidRDefault="00833D5F"/>
        </w:tc>
        <w:tc>
          <w:tcPr>
            <w:tcW w:w="930" w:type="dxa"/>
            <w:tcBorders>
              <w:top w:val="single" w:sz="4" w:space="0" w:color="auto"/>
              <w:left w:val="nil"/>
              <w:bottom w:val="nil"/>
              <w:right w:val="nil"/>
            </w:tcBorders>
            <w:shd w:val="clear" w:color="auto" w:fill="auto"/>
            <w:noWrap/>
            <w:tcMar>
              <w:top w:w="15" w:type="dxa"/>
              <w:left w:w="15" w:type="dxa"/>
              <w:bottom w:w="0" w:type="dxa"/>
              <w:right w:w="15" w:type="dxa"/>
            </w:tcMar>
            <w:vAlign w:val="bottom"/>
          </w:tcPr>
          <w:p w:rsidR="00833D5F" w:rsidRPr="00AA69ED" w:rsidRDefault="008939AF">
            <w:pPr>
              <w:jc w:val="right"/>
            </w:pPr>
            <w:r>
              <w:t>126</w:t>
            </w:r>
            <w:r w:rsidR="00833D5F" w:rsidRPr="00AA69ED">
              <w:t>,000</w:t>
            </w:r>
          </w:p>
        </w:tc>
      </w:tr>
      <w:tr w:rsidR="003818AD" w:rsidRPr="00AA69ED">
        <w:trPr>
          <w:trHeight w:val="255"/>
        </w:trPr>
        <w:tc>
          <w:tcPr>
            <w:tcW w:w="0" w:type="auto"/>
            <w:tcBorders>
              <w:top w:val="nil"/>
              <w:left w:val="nil"/>
              <w:bottom w:val="nil"/>
              <w:right w:val="nil"/>
            </w:tcBorders>
            <w:shd w:val="clear" w:color="auto" w:fill="auto"/>
            <w:noWrap/>
            <w:tcMar>
              <w:top w:w="15" w:type="dxa"/>
              <w:left w:w="15" w:type="dxa"/>
              <w:bottom w:w="0" w:type="dxa"/>
              <w:right w:w="15" w:type="dxa"/>
            </w:tcMar>
            <w:vAlign w:val="bottom"/>
          </w:tcPr>
          <w:p w:rsidR="003818AD" w:rsidRDefault="003818AD"/>
          <w:p w:rsidR="003818AD" w:rsidRPr="00AA69ED" w:rsidRDefault="003818AD">
            <w:r>
              <w:t>Deferred inflows – Property taxes</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rsidR="003818AD" w:rsidRPr="00AA69ED" w:rsidRDefault="003818AD"/>
        </w:tc>
        <w:tc>
          <w:tcPr>
            <w:tcW w:w="930" w:type="dxa"/>
            <w:tcBorders>
              <w:top w:val="nil"/>
              <w:left w:val="nil"/>
              <w:bottom w:val="nil"/>
              <w:right w:val="nil"/>
            </w:tcBorders>
            <w:shd w:val="clear" w:color="auto" w:fill="auto"/>
            <w:noWrap/>
            <w:tcMar>
              <w:top w:w="15" w:type="dxa"/>
              <w:left w:w="15" w:type="dxa"/>
              <w:bottom w:w="0" w:type="dxa"/>
              <w:right w:w="15" w:type="dxa"/>
            </w:tcMar>
            <w:vAlign w:val="bottom"/>
          </w:tcPr>
          <w:p w:rsidR="003818AD" w:rsidRPr="00AA69ED" w:rsidRDefault="008939AF" w:rsidP="003818AD">
            <w:pPr>
              <w:jc w:val="right"/>
            </w:pPr>
            <w:r>
              <w:t>21</w:t>
            </w:r>
            <w:r w:rsidR="003818AD">
              <w:t>,000</w:t>
            </w:r>
          </w:p>
        </w:tc>
      </w:tr>
      <w:tr w:rsidR="00833D5F" w:rsidRPr="00AA69ED">
        <w:trPr>
          <w:trHeight w:val="255"/>
        </w:trPr>
        <w:tc>
          <w:tcPr>
            <w:tcW w:w="0" w:type="auto"/>
            <w:tcBorders>
              <w:top w:val="nil"/>
              <w:left w:val="nil"/>
              <w:bottom w:val="nil"/>
              <w:right w:val="nil"/>
            </w:tcBorders>
            <w:shd w:val="clear" w:color="auto" w:fill="auto"/>
            <w:noWrap/>
            <w:tcMar>
              <w:top w:w="15" w:type="dxa"/>
              <w:left w:w="15" w:type="dxa"/>
              <w:bottom w:w="0" w:type="dxa"/>
              <w:right w:w="15" w:type="dxa"/>
            </w:tcMar>
            <w:vAlign w:val="bottom"/>
          </w:tcPr>
          <w:p w:rsidR="00833D5F" w:rsidRPr="00AA69ED" w:rsidRDefault="00833D5F">
            <w:r w:rsidRPr="00AA69ED">
              <w:t>Fund equity:</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rsidR="00833D5F" w:rsidRPr="00AA69ED" w:rsidRDefault="00833D5F"/>
        </w:tc>
        <w:tc>
          <w:tcPr>
            <w:tcW w:w="930" w:type="dxa"/>
            <w:tcBorders>
              <w:top w:val="nil"/>
              <w:left w:val="nil"/>
              <w:bottom w:val="nil"/>
              <w:right w:val="nil"/>
            </w:tcBorders>
            <w:shd w:val="clear" w:color="auto" w:fill="auto"/>
            <w:noWrap/>
            <w:tcMar>
              <w:top w:w="15" w:type="dxa"/>
              <w:left w:w="15" w:type="dxa"/>
              <w:bottom w:w="0" w:type="dxa"/>
              <w:right w:w="15" w:type="dxa"/>
            </w:tcMar>
            <w:vAlign w:val="bottom"/>
          </w:tcPr>
          <w:p w:rsidR="00833D5F" w:rsidRPr="00AA69ED" w:rsidRDefault="00833D5F"/>
        </w:tc>
      </w:tr>
      <w:tr w:rsidR="00833D5F" w:rsidRPr="00AA69ED">
        <w:trPr>
          <w:trHeight w:val="255"/>
        </w:trPr>
        <w:tc>
          <w:tcPr>
            <w:tcW w:w="0" w:type="auto"/>
            <w:tcBorders>
              <w:top w:val="nil"/>
              <w:left w:val="nil"/>
              <w:bottom w:val="nil"/>
              <w:right w:val="nil"/>
            </w:tcBorders>
            <w:shd w:val="clear" w:color="auto" w:fill="auto"/>
            <w:noWrap/>
            <w:tcMar>
              <w:top w:w="15" w:type="dxa"/>
              <w:left w:w="180" w:type="dxa"/>
              <w:bottom w:w="0" w:type="dxa"/>
              <w:right w:w="15" w:type="dxa"/>
            </w:tcMar>
            <w:vAlign w:val="bottom"/>
          </w:tcPr>
          <w:p w:rsidR="004244CF" w:rsidRDefault="00833D5F" w:rsidP="004244CF">
            <w:pPr>
              <w:ind w:firstLineChars="100" w:firstLine="240"/>
            </w:pPr>
            <w:r w:rsidRPr="00AA69ED">
              <w:t>Fund balance—</w:t>
            </w:r>
            <w:r w:rsidR="004244CF">
              <w:t xml:space="preserve">assigned </w:t>
            </w:r>
          </w:p>
          <w:p w:rsidR="004244CF" w:rsidRPr="00AA69ED" w:rsidRDefault="004244CF" w:rsidP="004244CF">
            <w:pPr>
              <w:ind w:firstLineChars="100" w:firstLine="240"/>
            </w:pPr>
            <w:r>
              <w:t xml:space="preserve">      (</w:t>
            </w:r>
            <w:r w:rsidR="00833D5F" w:rsidRPr="00AA69ED">
              <w:t xml:space="preserve">for </w:t>
            </w:r>
            <w:r>
              <w:t xml:space="preserve">outstanding </w:t>
            </w:r>
            <w:r w:rsidR="00833D5F" w:rsidRPr="00AA69ED">
              <w:t>encumbrances</w:t>
            </w:r>
            <w:r>
              <w:t>)</w:t>
            </w:r>
            <w:r w:rsidR="00833D5F" w:rsidRPr="00AA69ED">
              <w:t xml:space="preserve"> </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rsidR="00833D5F" w:rsidRPr="00AA69ED" w:rsidRDefault="00833D5F">
            <w:pPr>
              <w:jc w:val="right"/>
            </w:pPr>
            <w:r w:rsidRPr="00AA69ED">
              <w:t>$</w:t>
            </w:r>
            <w:r w:rsidR="007E149B">
              <w:t>19</w:t>
            </w:r>
            <w:r w:rsidRPr="00AA69ED">
              <w:t xml:space="preserve">,000 </w:t>
            </w:r>
          </w:p>
        </w:tc>
        <w:tc>
          <w:tcPr>
            <w:tcW w:w="930" w:type="dxa"/>
            <w:tcBorders>
              <w:top w:val="nil"/>
              <w:left w:val="nil"/>
              <w:bottom w:val="nil"/>
              <w:right w:val="nil"/>
            </w:tcBorders>
            <w:shd w:val="clear" w:color="auto" w:fill="auto"/>
            <w:noWrap/>
            <w:tcMar>
              <w:top w:w="15" w:type="dxa"/>
              <w:left w:w="15" w:type="dxa"/>
              <w:bottom w:w="0" w:type="dxa"/>
              <w:right w:w="15" w:type="dxa"/>
            </w:tcMar>
            <w:vAlign w:val="bottom"/>
          </w:tcPr>
          <w:p w:rsidR="00833D5F" w:rsidRPr="00AA69ED" w:rsidRDefault="00833D5F"/>
        </w:tc>
      </w:tr>
      <w:tr w:rsidR="00833D5F" w:rsidRPr="00AA69ED">
        <w:trPr>
          <w:trHeight w:val="255"/>
        </w:trPr>
        <w:tc>
          <w:tcPr>
            <w:tcW w:w="0" w:type="auto"/>
            <w:tcBorders>
              <w:top w:val="nil"/>
              <w:left w:val="nil"/>
              <w:bottom w:val="nil"/>
              <w:right w:val="nil"/>
            </w:tcBorders>
            <w:shd w:val="clear" w:color="auto" w:fill="auto"/>
            <w:noWrap/>
            <w:tcMar>
              <w:top w:w="15" w:type="dxa"/>
              <w:left w:w="180" w:type="dxa"/>
              <w:bottom w:w="0" w:type="dxa"/>
              <w:right w:w="15" w:type="dxa"/>
            </w:tcMar>
            <w:vAlign w:val="bottom"/>
          </w:tcPr>
          <w:p w:rsidR="00833D5F" w:rsidRPr="00AA69ED" w:rsidRDefault="00833D5F" w:rsidP="00AA69ED">
            <w:pPr>
              <w:ind w:firstLineChars="100" w:firstLine="240"/>
            </w:pPr>
            <w:r w:rsidRPr="00AA69ED">
              <w:t>Fund balance—un</w:t>
            </w:r>
            <w:r w:rsidR="004244CF">
              <w:t>assigned</w:t>
            </w:r>
          </w:p>
        </w:tc>
        <w:tc>
          <w:tcPr>
            <w:tcW w:w="0" w:type="auto"/>
            <w:tcBorders>
              <w:top w:val="nil"/>
              <w:left w:val="nil"/>
              <w:bottom w:val="single" w:sz="4" w:space="0" w:color="auto"/>
              <w:right w:val="nil"/>
            </w:tcBorders>
            <w:shd w:val="clear" w:color="auto" w:fill="auto"/>
            <w:noWrap/>
            <w:tcMar>
              <w:top w:w="15" w:type="dxa"/>
              <w:left w:w="15" w:type="dxa"/>
              <w:bottom w:w="0" w:type="dxa"/>
              <w:right w:w="15" w:type="dxa"/>
            </w:tcMar>
            <w:vAlign w:val="bottom"/>
          </w:tcPr>
          <w:p w:rsidR="00833D5F" w:rsidRPr="00AA69ED" w:rsidRDefault="00CC4CA2">
            <w:pPr>
              <w:jc w:val="right"/>
            </w:pPr>
            <w:r>
              <w:t>7</w:t>
            </w:r>
            <w:r w:rsidR="007E149B">
              <w:t>18</w:t>
            </w:r>
            <w:r w:rsidR="00AE441C">
              <w:t>,250</w:t>
            </w:r>
          </w:p>
        </w:tc>
        <w:tc>
          <w:tcPr>
            <w:tcW w:w="930" w:type="dxa"/>
            <w:tcBorders>
              <w:top w:val="nil"/>
              <w:left w:val="nil"/>
              <w:bottom w:val="nil"/>
              <w:right w:val="nil"/>
            </w:tcBorders>
            <w:shd w:val="clear" w:color="auto" w:fill="auto"/>
            <w:noWrap/>
            <w:tcMar>
              <w:top w:w="15" w:type="dxa"/>
              <w:left w:w="15" w:type="dxa"/>
              <w:bottom w:w="0" w:type="dxa"/>
              <w:right w:w="15" w:type="dxa"/>
            </w:tcMar>
            <w:vAlign w:val="bottom"/>
          </w:tcPr>
          <w:p w:rsidR="00833D5F" w:rsidRPr="00AA69ED" w:rsidRDefault="00833D5F"/>
        </w:tc>
      </w:tr>
      <w:tr w:rsidR="00833D5F" w:rsidRPr="00AA69ED">
        <w:trPr>
          <w:trHeight w:val="255"/>
        </w:trPr>
        <w:tc>
          <w:tcPr>
            <w:tcW w:w="0" w:type="auto"/>
            <w:tcBorders>
              <w:top w:val="nil"/>
              <w:left w:val="nil"/>
              <w:bottom w:val="nil"/>
              <w:right w:val="nil"/>
            </w:tcBorders>
            <w:shd w:val="clear" w:color="auto" w:fill="auto"/>
            <w:noWrap/>
            <w:tcMar>
              <w:top w:w="15" w:type="dxa"/>
              <w:left w:w="360" w:type="dxa"/>
              <w:bottom w:w="0" w:type="dxa"/>
              <w:right w:w="15" w:type="dxa"/>
            </w:tcMar>
            <w:vAlign w:val="bottom"/>
          </w:tcPr>
          <w:p w:rsidR="00833D5F" w:rsidRPr="00AA69ED" w:rsidRDefault="00833D5F" w:rsidP="00BE6066">
            <w:pPr>
              <w:ind w:firstLineChars="200" w:firstLine="480"/>
            </w:pPr>
            <w:r w:rsidRPr="00AA69ED">
              <w:t xml:space="preserve">Total fund </w:t>
            </w:r>
            <w:r w:rsidR="00BE6066">
              <w:t>balance</w:t>
            </w:r>
            <w:r w:rsidRPr="00AA69ED">
              <w:t xml:space="preserve"> </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rsidR="00833D5F" w:rsidRPr="00AA69ED" w:rsidRDefault="00833D5F"/>
        </w:tc>
        <w:tc>
          <w:tcPr>
            <w:tcW w:w="930" w:type="dxa"/>
            <w:tcBorders>
              <w:top w:val="nil"/>
              <w:left w:val="nil"/>
              <w:bottom w:val="single" w:sz="4" w:space="0" w:color="auto"/>
              <w:right w:val="nil"/>
            </w:tcBorders>
            <w:shd w:val="clear" w:color="auto" w:fill="auto"/>
            <w:noWrap/>
            <w:tcMar>
              <w:top w:w="15" w:type="dxa"/>
              <w:left w:w="15" w:type="dxa"/>
              <w:bottom w:w="0" w:type="dxa"/>
              <w:right w:w="15" w:type="dxa"/>
            </w:tcMar>
            <w:vAlign w:val="bottom"/>
          </w:tcPr>
          <w:p w:rsidR="00833D5F" w:rsidRPr="00AA69ED" w:rsidRDefault="00CC4CA2">
            <w:pPr>
              <w:jc w:val="right"/>
            </w:pPr>
            <w:r>
              <w:t>7</w:t>
            </w:r>
            <w:r w:rsidR="008939AF">
              <w:t>37</w:t>
            </w:r>
            <w:r w:rsidR="00AE441C">
              <w:t>,250</w:t>
            </w:r>
          </w:p>
        </w:tc>
      </w:tr>
      <w:tr w:rsidR="00833D5F" w:rsidRPr="00AA69ED">
        <w:trPr>
          <w:trHeight w:val="270"/>
        </w:trPr>
        <w:tc>
          <w:tcPr>
            <w:tcW w:w="0" w:type="auto"/>
            <w:tcBorders>
              <w:top w:val="nil"/>
              <w:left w:val="nil"/>
              <w:bottom w:val="nil"/>
              <w:right w:val="nil"/>
            </w:tcBorders>
            <w:shd w:val="clear" w:color="auto" w:fill="auto"/>
            <w:noWrap/>
            <w:tcMar>
              <w:top w:w="15" w:type="dxa"/>
              <w:left w:w="15" w:type="dxa"/>
              <w:bottom w:w="0" w:type="dxa"/>
              <w:right w:w="15" w:type="dxa"/>
            </w:tcMar>
            <w:vAlign w:val="bottom"/>
          </w:tcPr>
          <w:p w:rsidR="00833D5F" w:rsidRPr="00AA69ED" w:rsidRDefault="00833D5F">
            <w:r w:rsidRPr="00AA69ED">
              <w:t>Total liabilities</w:t>
            </w:r>
            <w:r w:rsidR="003818AD">
              <w:t>, deferred inflows</w:t>
            </w:r>
            <w:r w:rsidRPr="00AA69ED">
              <w:t xml:space="preserve"> and fund equity </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rsidR="00833D5F" w:rsidRPr="00AA69ED" w:rsidRDefault="00833D5F"/>
        </w:tc>
        <w:tc>
          <w:tcPr>
            <w:tcW w:w="930" w:type="dxa"/>
            <w:tcBorders>
              <w:top w:val="nil"/>
              <w:left w:val="nil"/>
              <w:bottom w:val="double" w:sz="6" w:space="0" w:color="auto"/>
              <w:right w:val="nil"/>
            </w:tcBorders>
            <w:shd w:val="clear" w:color="auto" w:fill="auto"/>
            <w:noWrap/>
            <w:tcMar>
              <w:top w:w="15" w:type="dxa"/>
              <w:left w:w="15" w:type="dxa"/>
              <w:bottom w:w="0" w:type="dxa"/>
              <w:right w:w="15" w:type="dxa"/>
            </w:tcMar>
            <w:vAlign w:val="bottom"/>
          </w:tcPr>
          <w:p w:rsidR="00833D5F" w:rsidRPr="00AA69ED" w:rsidRDefault="00833D5F">
            <w:pPr>
              <w:jc w:val="right"/>
            </w:pPr>
            <w:r w:rsidRPr="00AA69ED">
              <w:t>$</w:t>
            </w:r>
            <w:r w:rsidR="00CC4CA2">
              <w:t>8</w:t>
            </w:r>
            <w:r w:rsidR="008939AF">
              <w:t>84</w:t>
            </w:r>
            <w:r w:rsidR="00AE441C">
              <w:t>,250</w:t>
            </w:r>
            <w:r w:rsidRPr="00AA69ED">
              <w:t xml:space="preserve"> </w:t>
            </w:r>
          </w:p>
        </w:tc>
      </w:tr>
      <w:tr w:rsidR="00833D5F" w:rsidRPr="00AA69ED">
        <w:trPr>
          <w:trHeight w:val="270"/>
        </w:trPr>
        <w:tc>
          <w:tcPr>
            <w:tcW w:w="0" w:type="auto"/>
            <w:tcBorders>
              <w:top w:val="nil"/>
              <w:left w:val="nil"/>
              <w:bottom w:val="single" w:sz="18" w:space="0" w:color="auto"/>
              <w:right w:val="nil"/>
            </w:tcBorders>
            <w:shd w:val="clear" w:color="auto" w:fill="auto"/>
            <w:noWrap/>
            <w:tcMar>
              <w:top w:w="15" w:type="dxa"/>
              <w:left w:w="15" w:type="dxa"/>
              <w:bottom w:w="0" w:type="dxa"/>
              <w:right w:w="15" w:type="dxa"/>
            </w:tcMar>
            <w:vAlign w:val="bottom"/>
          </w:tcPr>
          <w:p w:rsidR="00833D5F" w:rsidRPr="00AA69ED" w:rsidRDefault="00833D5F">
            <w:r w:rsidRPr="00AA69ED">
              <w:t> </w:t>
            </w:r>
          </w:p>
        </w:tc>
        <w:tc>
          <w:tcPr>
            <w:tcW w:w="0" w:type="auto"/>
            <w:tcBorders>
              <w:top w:val="nil"/>
              <w:left w:val="nil"/>
              <w:bottom w:val="single" w:sz="18" w:space="0" w:color="auto"/>
              <w:right w:val="nil"/>
            </w:tcBorders>
            <w:shd w:val="clear" w:color="auto" w:fill="auto"/>
            <w:noWrap/>
            <w:tcMar>
              <w:top w:w="15" w:type="dxa"/>
              <w:left w:w="15" w:type="dxa"/>
              <w:bottom w:w="0" w:type="dxa"/>
              <w:right w:w="15" w:type="dxa"/>
            </w:tcMar>
            <w:vAlign w:val="bottom"/>
          </w:tcPr>
          <w:p w:rsidR="00833D5F" w:rsidRPr="00AA69ED" w:rsidRDefault="00833D5F">
            <w:r w:rsidRPr="00AA69ED">
              <w:t> </w:t>
            </w:r>
          </w:p>
        </w:tc>
        <w:tc>
          <w:tcPr>
            <w:tcW w:w="930" w:type="dxa"/>
            <w:tcBorders>
              <w:top w:val="nil"/>
              <w:left w:val="nil"/>
              <w:bottom w:val="single" w:sz="18" w:space="0" w:color="auto"/>
              <w:right w:val="nil"/>
            </w:tcBorders>
            <w:shd w:val="clear" w:color="auto" w:fill="auto"/>
            <w:noWrap/>
            <w:tcMar>
              <w:top w:w="15" w:type="dxa"/>
              <w:left w:w="15" w:type="dxa"/>
              <w:bottom w:w="0" w:type="dxa"/>
              <w:right w:w="15" w:type="dxa"/>
            </w:tcMar>
            <w:vAlign w:val="bottom"/>
          </w:tcPr>
          <w:p w:rsidR="00833D5F" w:rsidRPr="00AA69ED" w:rsidRDefault="00833D5F">
            <w:r w:rsidRPr="00AA69ED">
              <w:t> </w:t>
            </w:r>
          </w:p>
        </w:tc>
      </w:tr>
    </w:tbl>
    <w:p w:rsidR="004419ED" w:rsidRPr="00AA69ED" w:rsidRDefault="004419ED" w:rsidP="004419ED"/>
    <w:tbl>
      <w:tblPr>
        <w:tblW w:w="6855" w:type="dxa"/>
        <w:tblCellMar>
          <w:left w:w="0" w:type="dxa"/>
          <w:right w:w="0" w:type="dxa"/>
        </w:tblCellMar>
        <w:tblLook w:val="0000"/>
      </w:tblPr>
      <w:tblGrid>
        <w:gridCol w:w="4839"/>
        <w:gridCol w:w="44"/>
        <w:gridCol w:w="1972"/>
      </w:tblGrid>
      <w:tr w:rsidR="00833D5F" w:rsidRPr="00AA69ED">
        <w:trPr>
          <w:trHeight w:val="255"/>
        </w:trPr>
        <w:tc>
          <w:tcPr>
            <w:tcW w:w="6855" w:type="dxa"/>
            <w:gridSpan w:val="3"/>
            <w:tcBorders>
              <w:top w:val="nil"/>
              <w:left w:val="nil"/>
              <w:bottom w:val="nil"/>
              <w:right w:val="nil"/>
            </w:tcBorders>
            <w:shd w:val="clear" w:color="auto" w:fill="auto"/>
            <w:noWrap/>
            <w:tcMar>
              <w:top w:w="15" w:type="dxa"/>
              <w:left w:w="15" w:type="dxa"/>
              <w:bottom w:w="0" w:type="dxa"/>
              <w:right w:w="15" w:type="dxa"/>
            </w:tcMar>
            <w:vAlign w:val="bottom"/>
          </w:tcPr>
          <w:p w:rsidR="00833D5F" w:rsidRPr="00AA69ED" w:rsidRDefault="00833D5F">
            <w:pPr>
              <w:jc w:val="center"/>
              <w:rPr>
                <w:b/>
                <w:bCs/>
              </w:rPr>
            </w:pPr>
            <w:r w:rsidRPr="00AA69ED">
              <w:rPr>
                <w:b/>
                <w:bCs/>
              </w:rPr>
              <w:t xml:space="preserve">CITY OF </w:t>
            </w:r>
            <w:smartTag w:uri="urn:schemas-microsoft-com:office:smarttags" w:element="City">
              <w:smartTag w:uri="urn:schemas-microsoft-com:office:smarttags" w:element="place">
                <w:r w:rsidR="00D446CB">
                  <w:rPr>
                    <w:b/>
                    <w:bCs/>
                  </w:rPr>
                  <w:t>MONROE</w:t>
                </w:r>
              </w:smartTag>
            </w:smartTag>
          </w:p>
        </w:tc>
      </w:tr>
      <w:tr w:rsidR="00833D5F" w:rsidRPr="00AA69ED">
        <w:trPr>
          <w:trHeight w:val="255"/>
        </w:trPr>
        <w:tc>
          <w:tcPr>
            <w:tcW w:w="6855" w:type="dxa"/>
            <w:gridSpan w:val="3"/>
            <w:tcBorders>
              <w:top w:val="nil"/>
              <w:left w:val="nil"/>
              <w:bottom w:val="nil"/>
              <w:right w:val="nil"/>
            </w:tcBorders>
            <w:shd w:val="clear" w:color="auto" w:fill="auto"/>
            <w:noWrap/>
            <w:tcMar>
              <w:top w:w="15" w:type="dxa"/>
              <w:left w:w="15" w:type="dxa"/>
              <w:bottom w:w="0" w:type="dxa"/>
              <w:right w:w="15" w:type="dxa"/>
            </w:tcMar>
            <w:vAlign w:val="bottom"/>
          </w:tcPr>
          <w:p w:rsidR="00833D5F" w:rsidRPr="00AA69ED" w:rsidRDefault="00833D5F">
            <w:pPr>
              <w:jc w:val="center"/>
              <w:rPr>
                <w:b/>
                <w:bCs/>
              </w:rPr>
            </w:pPr>
            <w:r w:rsidRPr="00AA69ED">
              <w:rPr>
                <w:b/>
                <w:bCs/>
              </w:rPr>
              <w:t>Street and Highway Fund Balance Sheet</w:t>
            </w:r>
          </w:p>
        </w:tc>
      </w:tr>
      <w:tr w:rsidR="00833D5F" w:rsidRPr="00AA69ED">
        <w:trPr>
          <w:trHeight w:val="255"/>
        </w:trPr>
        <w:tc>
          <w:tcPr>
            <w:tcW w:w="6855" w:type="dxa"/>
            <w:gridSpan w:val="3"/>
            <w:tcBorders>
              <w:top w:val="nil"/>
              <w:left w:val="nil"/>
              <w:bottom w:val="nil"/>
              <w:right w:val="nil"/>
            </w:tcBorders>
            <w:shd w:val="clear" w:color="auto" w:fill="auto"/>
            <w:noWrap/>
            <w:tcMar>
              <w:top w:w="15" w:type="dxa"/>
              <w:left w:w="15" w:type="dxa"/>
              <w:bottom w:w="0" w:type="dxa"/>
              <w:right w:w="15" w:type="dxa"/>
            </w:tcMar>
            <w:vAlign w:val="bottom"/>
          </w:tcPr>
          <w:p w:rsidR="00833D5F" w:rsidRPr="00AA69ED" w:rsidRDefault="00833D5F">
            <w:pPr>
              <w:jc w:val="center"/>
              <w:rPr>
                <w:b/>
                <w:bCs/>
              </w:rPr>
            </w:pPr>
            <w:r w:rsidRPr="00AA69ED">
              <w:rPr>
                <w:b/>
                <w:bCs/>
              </w:rPr>
              <w:t xml:space="preserve">As of December 31, </w:t>
            </w:r>
            <w:r w:rsidR="003537C6">
              <w:rPr>
                <w:b/>
                <w:bCs/>
              </w:rPr>
              <w:t>2019</w:t>
            </w:r>
          </w:p>
        </w:tc>
      </w:tr>
      <w:tr w:rsidR="00833D5F" w:rsidRPr="00AA69ED">
        <w:trPr>
          <w:trHeight w:val="255"/>
        </w:trPr>
        <w:tc>
          <w:tcPr>
            <w:tcW w:w="6855" w:type="dxa"/>
            <w:gridSpan w:val="3"/>
            <w:tcBorders>
              <w:top w:val="nil"/>
              <w:left w:val="nil"/>
              <w:bottom w:val="nil"/>
              <w:right w:val="nil"/>
            </w:tcBorders>
            <w:shd w:val="clear" w:color="auto" w:fill="auto"/>
            <w:noWrap/>
            <w:tcMar>
              <w:top w:w="15" w:type="dxa"/>
              <w:left w:w="15" w:type="dxa"/>
              <w:bottom w:w="0" w:type="dxa"/>
              <w:right w:w="15" w:type="dxa"/>
            </w:tcMar>
            <w:vAlign w:val="bottom"/>
          </w:tcPr>
          <w:p w:rsidR="00833D5F" w:rsidRPr="00AA69ED" w:rsidRDefault="00833D5F">
            <w:pPr>
              <w:jc w:val="center"/>
              <w:rPr>
                <w:b/>
                <w:bCs/>
              </w:rPr>
            </w:pPr>
            <w:r w:rsidRPr="00AA69ED">
              <w:rPr>
                <w:b/>
                <w:bCs/>
              </w:rPr>
              <w:t>Assets</w:t>
            </w:r>
          </w:p>
        </w:tc>
      </w:tr>
      <w:tr w:rsidR="00833D5F" w:rsidRPr="00AA69ED">
        <w:trPr>
          <w:trHeight w:val="255"/>
        </w:trPr>
        <w:tc>
          <w:tcPr>
            <w:tcW w:w="0" w:type="auto"/>
            <w:tcBorders>
              <w:top w:val="nil"/>
              <w:left w:val="nil"/>
              <w:bottom w:val="nil"/>
              <w:right w:val="nil"/>
            </w:tcBorders>
            <w:shd w:val="clear" w:color="auto" w:fill="auto"/>
            <w:noWrap/>
            <w:tcMar>
              <w:top w:w="15" w:type="dxa"/>
              <w:left w:w="15" w:type="dxa"/>
              <w:bottom w:w="0" w:type="dxa"/>
              <w:right w:w="15" w:type="dxa"/>
            </w:tcMar>
            <w:vAlign w:val="bottom"/>
          </w:tcPr>
          <w:p w:rsidR="00833D5F" w:rsidRPr="00AA69ED" w:rsidRDefault="00833D5F">
            <w:r w:rsidRPr="00AA69ED">
              <w:t>Cash</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rsidR="00833D5F" w:rsidRPr="00AA69ED" w:rsidRDefault="00833D5F"/>
        </w:tc>
        <w:tc>
          <w:tcPr>
            <w:tcW w:w="1617" w:type="dxa"/>
            <w:tcBorders>
              <w:top w:val="nil"/>
              <w:left w:val="nil"/>
              <w:bottom w:val="nil"/>
              <w:right w:val="nil"/>
            </w:tcBorders>
            <w:shd w:val="clear" w:color="auto" w:fill="auto"/>
            <w:noWrap/>
            <w:tcMar>
              <w:top w:w="15" w:type="dxa"/>
              <w:left w:w="15" w:type="dxa"/>
              <w:bottom w:w="0" w:type="dxa"/>
              <w:right w:w="15" w:type="dxa"/>
            </w:tcMar>
            <w:vAlign w:val="bottom"/>
          </w:tcPr>
          <w:p w:rsidR="00833D5F" w:rsidRPr="00AA69ED" w:rsidRDefault="00833D5F" w:rsidP="008939AF">
            <w:pPr>
              <w:jc w:val="right"/>
            </w:pPr>
            <w:r w:rsidRPr="00AA69ED">
              <w:t>$</w:t>
            </w:r>
            <w:r w:rsidR="007E149B">
              <w:t>19</w:t>
            </w:r>
            <w:r w:rsidR="008939AF">
              <w:t>,000</w:t>
            </w:r>
            <w:r w:rsidRPr="00AA69ED">
              <w:t xml:space="preserve"> </w:t>
            </w:r>
          </w:p>
        </w:tc>
      </w:tr>
      <w:tr w:rsidR="00833D5F" w:rsidRPr="00AA69ED">
        <w:trPr>
          <w:trHeight w:val="255"/>
        </w:trPr>
        <w:tc>
          <w:tcPr>
            <w:tcW w:w="0" w:type="auto"/>
            <w:tcBorders>
              <w:top w:val="nil"/>
              <w:left w:val="nil"/>
              <w:bottom w:val="nil"/>
              <w:right w:val="nil"/>
            </w:tcBorders>
            <w:shd w:val="clear" w:color="auto" w:fill="auto"/>
            <w:noWrap/>
            <w:tcMar>
              <w:top w:w="15" w:type="dxa"/>
              <w:left w:w="15" w:type="dxa"/>
              <w:bottom w:w="0" w:type="dxa"/>
              <w:right w:w="15" w:type="dxa"/>
            </w:tcMar>
            <w:vAlign w:val="bottom"/>
          </w:tcPr>
          <w:p w:rsidR="00833D5F" w:rsidRPr="00AA69ED" w:rsidRDefault="00833D5F">
            <w:r w:rsidRPr="00AA69ED">
              <w:t xml:space="preserve">Investments </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rsidR="00833D5F" w:rsidRPr="00AA69ED" w:rsidRDefault="00833D5F"/>
        </w:tc>
        <w:tc>
          <w:tcPr>
            <w:tcW w:w="1617" w:type="dxa"/>
            <w:tcBorders>
              <w:top w:val="nil"/>
              <w:left w:val="nil"/>
              <w:bottom w:val="nil"/>
              <w:right w:val="nil"/>
            </w:tcBorders>
            <w:shd w:val="clear" w:color="auto" w:fill="auto"/>
            <w:noWrap/>
            <w:tcMar>
              <w:top w:w="15" w:type="dxa"/>
              <w:left w:w="15" w:type="dxa"/>
              <w:bottom w:w="0" w:type="dxa"/>
              <w:right w:w="15" w:type="dxa"/>
            </w:tcMar>
            <w:vAlign w:val="bottom"/>
          </w:tcPr>
          <w:p w:rsidR="00833D5F" w:rsidRPr="00AA69ED" w:rsidRDefault="007E149B">
            <w:pPr>
              <w:jc w:val="right"/>
            </w:pPr>
            <w:r>
              <w:t>63</w:t>
            </w:r>
            <w:r w:rsidR="00833D5F" w:rsidRPr="00AA69ED">
              <w:t>,000</w:t>
            </w:r>
          </w:p>
        </w:tc>
      </w:tr>
      <w:tr w:rsidR="00833D5F" w:rsidRPr="00AA69ED">
        <w:trPr>
          <w:trHeight w:val="255"/>
        </w:trPr>
        <w:tc>
          <w:tcPr>
            <w:tcW w:w="0" w:type="auto"/>
            <w:tcBorders>
              <w:top w:val="nil"/>
              <w:left w:val="nil"/>
              <w:bottom w:val="nil"/>
              <w:right w:val="nil"/>
            </w:tcBorders>
            <w:shd w:val="clear" w:color="auto" w:fill="auto"/>
            <w:noWrap/>
            <w:tcMar>
              <w:top w:w="15" w:type="dxa"/>
              <w:left w:w="15" w:type="dxa"/>
              <w:bottom w:w="0" w:type="dxa"/>
              <w:right w:w="15" w:type="dxa"/>
            </w:tcMar>
            <w:vAlign w:val="bottom"/>
          </w:tcPr>
          <w:p w:rsidR="00833D5F" w:rsidRPr="00AA69ED" w:rsidRDefault="00833D5F">
            <w:r w:rsidRPr="00AA69ED">
              <w:t xml:space="preserve">Due from state government </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rsidR="00833D5F" w:rsidRPr="00AA69ED" w:rsidRDefault="00833D5F"/>
        </w:tc>
        <w:tc>
          <w:tcPr>
            <w:tcW w:w="1617" w:type="dxa"/>
            <w:tcBorders>
              <w:top w:val="nil"/>
              <w:left w:val="nil"/>
              <w:bottom w:val="single" w:sz="4" w:space="0" w:color="auto"/>
              <w:right w:val="nil"/>
            </w:tcBorders>
            <w:shd w:val="clear" w:color="auto" w:fill="auto"/>
            <w:noWrap/>
            <w:tcMar>
              <w:top w:w="15" w:type="dxa"/>
              <w:left w:w="15" w:type="dxa"/>
              <w:bottom w:w="0" w:type="dxa"/>
              <w:right w:w="15" w:type="dxa"/>
            </w:tcMar>
            <w:vAlign w:val="bottom"/>
          </w:tcPr>
          <w:p w:rsidR="00833D5F" w:rsidRPr="00AA69ED" w:rsidRDefault="00341CD8">
            <w:pPr>
              <w:jc w:val="right"/>
            </w:pPr>
            <w:r>
              <w:t>107</w:t>
            </w:r>
            <w:r w:rsidR="00833D5F" w:rsidRPr="00AA69ED">
              <w:t>,000</w:t>
            </w:r>
          </w:p>
        </w:tc>
      </w:tr>
      <w:tr w:rsidR="00833D5F" w:rsidRPr="00AA69ED">
        <w:trPr>
          <w:trHeight w:val="270"/>
        </w:trPr>
        <w:tc>
          <w:tcPr>
            <w:tcW w:w="0" w:type="auto"/>
            <w:tcBorders>
              <w:top w:val="nil"/>
              <w:left w:val="nil"/>
              <w:bottom w:val="nil"/>
              <w:right w:val="nil"/>
            </w:tcBorders>
            <w:shd w:val="clear" w:color="auto" w:fill="auto"/>
            <w:noWrap/>
            <w:tcMar>
              <w:top w:w="15" w:type="dxa"/>
              <w:left w:w="15" w:type="dxa"/>
              <w:bottom w:w="0" w:type="dxa"/>
              <w:right w:w="15" w:type="dxa"/>
            </w:tcMar>
            <w:vAlign w:val="bottom"/>
          </w:tcPr>
          <w:p w:rsidR="00833D5F" w:rsidRPr="00AA69ED" w:rsidRDefault="00833D5F">
            <w:r w:rsidRPr="00AA69ED">
              <w:t xml:space="preserve">Total assets </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rsidR="00833D5F" w:rsidRPr="00AA69ED" w:rsidRDefault="00833D5F"/>
        </w:tc>
        <w:tc>
          <w:tcPr>
            <w:tcW w:w="1617" w:type="dxa"/>
            <w:tcBorders>
              <w:top w:val="nil"/>
              <w:left w:val="nil"/>
              <w:bottom w:val="double" w:sz="6" w:space="0" w:color="auto"/>
              <w:right w:val="nil"/>
            </w:tcBorders>
            <w:shd w:val="clear" w:color="auto" w:fill="auto"/>
            <w:noWrap/>
            <w:tcMar>
              <w:top w:w="15" w:type="dxa"/>
              <w:left w:w="15" w:type="dxa"/>
              <w:bottom w:w="0" w:type="dxa"/>
              <w:right w:w="15" w:type="dxa"/>
            </w:tcMar>
            <w:vAlign w:val="bottom"/>
          </w:tcPr>
          <w:p w:rsidR="00833D5F" w:rsidRPr="00AA69ED" w:rsidRDefault="00AE441C" w:rsidP="008939AF">
            <w:pPr>
              <w:jc w:val="right"/>
            </w:pPr>
            <w:r>
              <w:t>$</w:t>
            </w:r>
            <w:r w:rsidR="008939AF">
              <w:t>189,</w:t>
            </w:r>
            <w:r w:rsidR="002657B2">
              <w:t>00</w:t>
            </w:r>
            <w:r w:rsidR="008939AF">
              <w:t>0</w:t>
            </w:r>
            <w:r w:rsidR="00833D5F" w:rsidRPr="00AA69ED">
              <w:t xml:space="preserve"> </w:t>
            </w:r>
          </w:p>
        </w:tc>
      </w:tr>
      <w:tr w:rsidR="00833D5F" w:rsidRPr="00AA69ED">
        <w:trPr>
          <w:trHeight w:val="270"/>
        </w:trPr>
        <w:tc>
          <w:tcPr>
            <w:tcW w:w="6855" w:type="dxa"/>
            <w:gridSpan w:val="3"/>
            <w:tcBorders>
              <w:top w:val="nil"/>
              <w:left w:val="nil"/>
              <w:bottom w:val="nil"/>
              <w:right w:val="nil"/>
            </w:tcBorders>
            <w:shd w:val="clear" w:color="auto" w:fill="auto"/>
            <w:noWrap/>
            <w:tcMar>
              <w:top w:w="15" w:type="dxa"/>
              <w:left w:w="15" w:type="dxa"/>
              <w:bottom w:w="0" w:type="dxa"/>
              <w:right w:w="15" w:type="dxa"/>
            </w:tcMar>
            <w:vAlign w:val="bottom"/>
          </w:tcPr>
          <w:p w:rsidR="00833D5F" w:rsidRPr="00AA69ED" w:rsidRDefault="00833D5F">
            <w:pPr>
              <w:jc w:val="center"/>
              <w:rPr>
                <w:b/>
                <w:bCs/>
              </w:rPr>
            </w:pPr>
            <w:r w:rsidRPr="00AA69ED">
              <w:rPr>
                <w:b/>
                <w:bCs/>
              </w:rPr>
              <w:t>Liabilities and Fund Equity</w:t>
            </w:r>
          </w:p>
        </w:tc>
      </w:tr>
      <w:tr w:rsidR="00833D5F" w:rsidRPr="00AA69ED">
        <w:trPr>
          <w:trHeight w:val="255"/>
        </w:trPr>
        <w:tc>
          <w:tcPr>
            <w:tcW w:w="0" w:type="auto"/>
            <w:tcBorders>
              <w:top w:val="nil"/>
              <w:left w:val="nil"/>
              <w:bottom w:val="nil"/>
              <w:right w:val="nil"/>
            </w:tcBorders>
            <w:shd w:val="clear" w:color="auto" w:fill="auto"/>
            <w:noWrap/>
            <w:tcMar>
              <w:top w:w="15" w:type="dxa"/>
              <w:left w:w="15" w:type="dxa"/>
              <w:bottom w:w="0" w:type="dxa"/>
              <w:right w:w="15" w:type="dxa"/>
            </w:tcMar>
            <w:vAlign w:val="bottom"/>
          </w:tcPr>
          <w:p w:rsidR="00833D5F" w:rsidRPr="00AA69ED" w:rsidRDefault="00833D5F">
            <w:r w:rsidRPr="00AA69ED">
              <w:t>Liabilities:</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rsidR="00833D5F" w:rsidRPr="00AA69ED" w:rsidRDefault="00833D5F"/>
        </w:tc>
        <w:tc>
          <w:tcPr>
            <w:tcW w:w="1617" w:type="dxa"/>
            <w:tcBorders>
              <w:top w:val="nil"/>
              <w:left w:val="nil"/>
              <w:bottom w:val="nil"/>
              <w:right w:val="nil"/>
            </w:tcBorders>
            <w:shd w:val="clear" w:color="auto" w:fill="auto"/>
            <w:noWrap/>
            <w:tcMar>
              <w:top w:w="15" w:type="dxa"/>
              <w:left w:w="15" w:type="dxa"/>
              <w:bottom w:w="0" w:type="dxa"/>
              <w:right w:w="15" w:type="dxa"/>
            </w:tcMar>
            <w:vAlign w:val="bottom"/>
          </w:tcPr>
          <w:p w:rsidR="00833D5F" w:rsidRPr="00AA69ED" w:rsidRDefault="00833D5F"/>
        </w:tc>
      </w:tr>
      <w:tr w:rsidR="00833D5F" w:rsidRPr="00AA69ED">
        <w:trPr>
          <w:trHeight w:val="255"/>
        </w:trPr>
        <w:tc>
          <w:tcPr>
            <w:tcW w:w="0" w:type="auto"/>
            <w:tcBorders>
              <w:top w:val="nil"/>
              <w:left w:val="nil"/>
              <w:bottom w:val="nil"/>
              <w:right w:val="nil"/>
            </w:tcBorders>
            <w:shd w:val="clear" w:color="auto" w:fill="auto"/>
            <w:noWrap/>
            <w:tcMar>
              <w:top w:w="15" w:type="dxa"/>
              <w:left w:w="180" w:type="dxa"/>
              <w:bottom w:w="0" w:type="dxa"/>
              <w:right w:w="15" w:type="dxa"/>
            </w:tcMar>
            <w:vAlign w:val="bottom"/>
          </w:tcPr>
          <w:p w:rsidR="00833D5F" w:rsidRPr="00AA69ED" w:rsidRDefault="00833D5F" w:rsidP="00AA69ED">
            <w:pPr>
              <w:ind w:firstLineChars="100" w:firstLine="240"/>
            </w:pPr>
            <w:r w:rsidRPr="00AA69ED">
              <w:t xml:space="preserve">Accounts payable </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rsidR="00833D5F" w:rsidRPr="00AA69ED" w:rsidRDefault="00833D5F"/>
        </w:tc>
        <w:tc>
          <w:tcPr>
            <w:tcW w:w="1617" w:type="dxa"/>
            <w:tcBorders>
              <w:top w:val="nil"/>
              <w:left w:val="nil"/>
              <w:bottom w:val="nil"/>
              <w:right w:val="nil"/>
            </w:tcBorders>
            <w:shd w:val="clear" w:color="auto" w:fill="auto"/>
            <w:noWrap/>
            <w:tcMar>
              <w:top w:w="15" w:type="dxa"/>
              <w:left w:w="15" w:type="dxa"/>
              <w:bottom w:w="0" w:type="dxa"/>
              <w:right w:w="15" w:type="dxa"/>
            </w:tcMar>
            <w:vAlign w:val="bottom"/>
          </w:tcPr>
          <w:p w:rsidR="00833D5F" w:rsidRPr="00AA69ED" w:rsidRDefault="007E149B">
            <w:pPr>
              <w:jc w:val="right"/>
            </w:pPr>
            <w:r>
              <w:t>$10</w:t>
            </w:r>
            <w:r w:rsidR="008939AF">
              <w:t>,0</w:t>
            </w:r>
            <w:r w:rsidR="00833D5F" w:rsidRPr="00AA69ED">
              <w:t xml:space="preserve">00 </w:t>
            </w:r>
          </w:p>
        </w:tc>
      </w:tr>
      <w:tr w:rsidR="00833D5F" w:rsidRPr="00AA69ED">
        <w:trPr>
          <w:trHeight w:val="255"/>
        </w:trPr>
        <w:tc>
          <w:tcPr>
            <w:tcW w:w="0" w:type="auto"/>
            <w:tcBorders>
              <w:top w:val="nil"/>
              <w:left w:val="nil"/>
              <w:bottom w:val="nil"/>
              <w:right w:val="nil"/>
            </w:tcBorders>
            <w:shd w:val="clear" w:color="auto" w:fill="auto"/>
            <w:noWrap/>
            <w:tcMar>
              <w:top w:w="15" w:type="dxa"/>
              <w:left w:w="15" w:type="dxa"/>
              <w:bottom w:w="0" w:type="dxa"/>
              <w:right w:w="15" w:type="dxa"/>
            </w:tcMar>
            <w:vAlign w:val="bottom"/>
          </w:tcPr>
          <w:p w:rsidR="00833D5F" w:rsidRPr="00AA69ED" w:rsidRDefault="00833D5F">
            <w:r w:rsidRPr="00AA69ED">
              <w:t>Fund equity:</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rsidR="00833D5F" w:rsidRPr="00AA69ED" w:rsidRDefault="00833D5F"/>
        </w:tc>
        <w:tc>
          <w:tcPr>
            <w:tcW w:w="1617" w:type="dxa"/>
            <w:tcBorders>
              <w:top w:val="nil"/>
              <w:left w:val="nil"/>
              <w:bottom w:val="nil"/>
              <w:right w:val="nil"/>
            </w:tcBorders>
            <w:shd w:val="clear" w:color="auto" w:fill="auto"/>
            <w:noWrap/>
            <w:tcMar>
              <w:top w:w="15" w:type="dxa"/>
              <w:left w:w="15" w:type="dxa"/>
              <w:bottom w:w="0" w:type="dxa"/>
              <w:right w:w="15" w:type="dxa"/>
            </w:tcMar>
            <w:vAlign w:val="bottom"/>
          </w:tcPr>
          <w:p w:rsidR="00833D5F" w:rsidRPr="00AA69ED" w:rsidRDefault="00833D5F"/>
        </w:tc>
      </w:tr>
      <w:tr w:rsidR="00833D5F" w:rsidRPr="00AA69ED">
        <w:trPr>
          <w:trHeight w:val="255"/>
        </w:trPr>
        <w:tc>
          <w:tcPr>
            <w:tcW w:w="0" w:type="auto"/>
            <w:tcBorders>
              <w:top w:val="nil"/>
              <w:left w:val="nil"/>
              <w:bottom w:val="nil"/>
              <w:right w:val="nil"/>
            </w:tcBorders>
            <w:shd w:val="clear" w:color="auto" w:fill="auto"/>
            <w:noWrap/>
            <w:tcMar>
              <w:top w:w="15" w:type="dxa"/>
              <w:left w:w="180" w:type="dxa"/>
              <w:bottom w:w="0" w:type="dxa"/>
              <w:right w:w="15" w:type="dxa"/>
            </w:tcMar>
            <w:vAlign w:val="bottom"/>
          </w:tcPr>
          <w:p w:rsidR="000424D1" w:rsidRDefault="00833D5F" w:rsidP="00AA69ED">
            <w:pPr>
              <w:ind w:firstLineChars="100" w:firstLine="240"/>
            </w:pPr>
            <w:r w:rsidRPr="00AA69ED">
              <w:t>Fund balance—</w:t>
            </w:r>
            <w:r w:rsidR="004244CF">
              <w:t xml:space="preserve">assigned for streets and </w:t>
            </w:r>
          </w:p>
          <w:p w:rsidR="00833D5F" w:rsidRPr="00AA69ED" w:rsidRDefault="000424D1" w:rsidP="00AA69ED">
            <w:pPr>
              <w:ind w:firstLineChars="100" w:firstLine="240"/>
            </w:pPr>
            <w:r>
              <w:t xml:space="preserve">                          </w:t>
            </w:r>
            <w:r w:rsidR="004244CF">
              <w:t xml:space="preserve">highways    </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rsidR="00833D5F" w:rsidRPr="00AA69ED" w:rsidRDefault="00833D5F"/>
        </w:tc>
        <w:tc>
          <w:tcPr>
            <w:tcW w:w="1617" w:type="dxa"/>
            <w:tcBorders>
              <w:top w:val="nil"/>
              <w:left w:val="nil"/>
              <w:bottom w:val="single" w:sz="4" w:space="0" w:color="auto"/>
              <w:right w:val="nil"/>
            </w:tcBorders>
            <w:shd w:val="clear" w:color="auto" w:fill="auto"/>
            <w:noWrap/>
            <w:tcMar>
              <w:top w:w="15" w:type="dxa"/>
              <w:left w:w="15" w:type="dxa"/>
              <w:bottom w:w="0" w:type="dxa"/>
              <w:right w:w="15" w:type="dxa"/>
            </w:tcMar>
            <w:vAlign w:val="bottom"/>
          </w:tcPr>
          <w:p w:rsidR="00833D5F" w:rsidRPr="00AA69ED" w:rsidRDefault="007E149B">
            <w:pPr>
              <w:jc w:val="right"/>
            </w:pPr>
            <w:r>
              <w:t>179</w:t>
            </w:r>
            <w:r w:rsidR="007C577B">
              <w:t>,000</w:t>
            </w:r>
          </w:p>
        </w:tc>
      </w:tr>
      <w:tr w:rsidR="00833D5F" w:rsidRPr="00AA69ED">
        <w:trPr>
          <w:trHeight w:val="270"/>
        </w:trPr>
        <w:tc>
          <w:tcPr>
            <w:tcW w:w="0" w:type="auto"/>
            <w:tcBorders>
              <w:top w:val="nil"/>
              <w:left w:val="nil"/>
              <w:bottom w:val="nil"/>
              <w:right w:val="nil"/>
            </w:tcBorders>
            <w:shd w:val="clear" w:color="auto" w:fill="auto"/>
            <w:noWrap/>
            <w:tcMar>
              <w:top w:w="15" w:type="dxa"/>
              <w:left w:w="180" w:type="dxa"/>
              <w:bottom w:w="0" w:type="dxa"/>
              <w:right w:w="15" w:type="dxa"/>
            </w:tcMar>
            <w:vAlign w:val="bottom"/>
          </w:tcPr>
          <w:p w:rsidR="00833D5F" w:rsidRPr="00AA69ED" w:rsidRDefault="00833D5F" w:rsidP="00AA69ED">
            <w:pPr>
              <w:ind w:firstLineChars="100" w:firstLine="240"/>
            </w:pPr>
            <w:r w:rsidRPr="00AA69ED">
              <w:t xml:space="preserve">Total liabilities and fund equity </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rsidR="00833D5F" w:rsidRPr="00AA69ED" w:rsidRDefault="00833D5F"/>
        </w:tc>
        <w:tc>
          <w:tcPr>
            <w:tcW w:w="1617" w:type="dxa"/>
            <w:tcBorders>
              <w:top w:val="nil"/>
              <w:left w:val="nil"/>
              <w:bottom w:val="double" w:sz="6" w:space="0" w:color="auto"/>
              <w:right w:val="nil"/>
            </w:tcBorders>
            <w:shd w:val="clear" w:color="auto" w:fill="auto"/>
            <w:noWrap/>
            <w:tcMar>
              <w:top w:w="15" w:type="dxa"/>
              <w:left w:w="15" w:type="dxa"/>
              <w:bottom w:w="0" w:type="dxa"/>
              <w:right w:w="15" w:type="dxa"/>
            </w:tcMar>
            <w:vAlign w:val="bottom"/>
          </w:tcPr>
          <w:p w:rsidR="00833D5F" w:rsidRPr="00AA69ED" w:rsidRDefault="008939AF">
            <w:pPr>
              <w:jc w:val="right"/>
            </w:pPr>
            <w:r>
              <w:t>$189,0</w:t>
            </w:r>
            <w:r w:rsidR="00833D5F" w:rsidRPr="00AA69ED">
              <w:t xml:space="preserve">00 </w:t>
            </w:r>
          </w:p>
        </w:tc>
      </w:tr>
    </w:tbl>
    <w:p w:rsidR="00833D5F" w:rsidRPr="00AA69ED" w:rsidRDefault="00833D5F" w:rsidP="004419ED"/>
    <w:p w:rsidR="004419ED" w:rsidRDefault="004419ED" w:rsidP="00CD13C2">
      <w:pPr>
        <w:autoSpaceDE w:val="0"/>
        <w:autoSpaceDN w:val="0"/>
        <w:adjustRightInd w:val="0"/>
        <w:ind w:left="720" w:hanging="720"/>
      </w:pPr>
      <w:r w:rsidRPr="00CD13C2">
        <w:rPr>
          <w:b/>
        </w:rPr>
        <w:lastRenderedPageBreak/>
        <w:t>3–C</w:t>
      </w:r>
      <w:r w:rsidRPr="00AA69ED">
        <w:t>. This portion of the continuous problem continues the General Fund and special</w:t>
      </w:r>
      <w:r w:rsidR="0035335A" w:rsidRPr="00AA69ED">
        <w:t xml:space="preserve"> </w:t>
      </w:r>
      <w:r w:rsidRPr="00AA69ED">
        <w:t>revenue fund examples by requiring the</w:t>
      </w:r>
      <w:r w:rsidR="0035335A" w:rsidRPr="00AA69ED">
        <w:t xml:space="preserve"> </w:t>
      </w:r>
      <w:r w:rsidRPr="00AA69ED">
        <w:t xml:space="preserve">recording and posting of the budgetary entries. </w:t>
      </w:r>
      <w:r w:rsidR="004244CF">
        <w:t>To</w:t>
      </w:r>
      <w:r w:rsidRPr="00AA69ED">
        <w:t xml:space="preserve"> reduce clerical effort</w:t>
      </w:r>
      <w:r w:rsidR="0035335A" w:rsidRPr="00AA69ED">
        <w:t xml:space="preserve"> </w:t>
      </w:r>
      <w:r w:rsidRPr="00AA69ED">
        <w:t>required for the solution</w:t>
      </w:r>
      <w:r w:rsidR="00CE7A45">
        <w:t xml:space="preserve"> use control accounts for the budgetary accounts, revenues, expenditures and encumbrances.  S</w:t>
      </w:r>
      <w:r w:rsidRPr="00AA69ED">
        <w:t>ubsidiary accounts are not required</w:t>
      </w:r>
      <w:r w:rsidR="004244CF">
        <w:t>. Budget information for the City includes:</w:t>
      </w:r>
    </w:p>
    <w:p w:rsidR="004244CF" w:rsidRPr="00AA69ED" w:rsidRDefault="004244CF" w:rsidP="004419ED">
      <w:pPr>
        <w:autoSpaceDE w:val="0"/>
        <w:autoSpaceDN w:val="0"/>
        <w:adjustRightInd w:val="0"/>
        <w:rPr>
          <w:i/>
          <w:iCs/>
        </w:rPr>
      </w:pPr>
    </w:p>
    <w:p w:rsidR="004419ED" w:rsidRPr="00AA69ED" w:rsidRDefault="004419ED" w:rsidP="00AA69ED">
      <w:pPr>
        <w:numPr>
          <w:ilvl w:val="0"/>
          <w:numId w:val="5"/>
        </w:numPr>
        <w:autoSpaceDE w:val="0"/>
        <w:autoSpaceDN w:val="0"/>
        <w:adjustRightInd w:val="0"/>
      </w:pPr>
      <w:r w:rsidRPr="00AA69ED">
        <w:t xml:space="preserve">As of January 1, </w:t>
      </w:r>
      <w:r w:rsidR="003537C6">
        <w:t>2020</w:t>
      </w:r>
      <w:r w:rsidRPr="00AA69ED">
        <w:t>, the City Council approved and the mayor signed a</w:t>
      </w:r>
      <w:r w:rsidR="0035335A" w:rsidRPr="00AA69ED">
        <w:t xml:space="preserve"> </w:t>
      </w:r>
      <w:r w:rsidR="001E64D6">
        <w:t xml:space="preserve">budget </w:t>
      </w:r>
      <w:r w:rsidR="00341CD8">
        <w:t>calling for $11,1</w:t>
      </w:r>
      <w:r w:rsidR="00507358">
        <w:t>5</w:t>
      </w:r>
      <w:r w:rsidRPr="00AA69ED">
        <w:t>0,000 in property tax and other revenue,</w:t>
      </w:r>
      <w:r w:rsidR="0035335A" w:rsidRPr="00AA69ED">
        <w:t xml:space="preserve"> </w:t>
      </w:r>
      <w:r w:rsidR="007E149B">
        <w:t>$9,38</w:t>
      </w:r>
      <w:r w:rsidR="001E64D6">
        <w:t>0</w:t>
      </w:r>
      <w:r w:rsidRPr="00AA69ED">
        <w:t>,000 in appropriat</w:t>
      </w:r>
      <w:r w:rsidR="001E64D6">
        <w:t>ions for expenditures, and $1,70</w:t>
      </w:r>
      <w:r w:rsidRPr="00AA69ED">
        <w:t>0,000 to be transferred</w:t>
      </w:r>
      <w:r w:rsidR="0035335A" w:rsidRPr="00AA69ED">
        <w:t xml:space="preserve"> </w:t>
      </w:r>
      <w:r w:rsidRPr="00AA69ED">
        <w:t>to two debt service funds for the payment of principal and interest.</w:t>
      </w:r>
      <w:r w:rsidR="0035335A" w:rsidRPr="00AA69ED">
        <w:t xml:space="preserve"> </w:t>
      </w:r>
      <w:r w:rsidRPr="00AA69ED">
        <w:t>Record the budget for the General Fund and post to</w:t>
      </w:r>
      <w:r w:rsidR="0035335A" w:rsidRPr="00AA69ED">
        <w:t xml:space="preserve"> </w:t>
      </w:r>
      <w:r w:rsidRPr="00AA69ED">
        <w:t>the ledger.</w:t>
      </w:r>
    </w:p>
    <w:p w:rsidR="004419ED" w:rsidRPr="00AA69ED" w:rsidRDefault="004419ED" w:rsidP="004419ED">
      <w:pPr>
        <w:autoSpaceDE w:val="0"/>
        <w:autoSpaceDN w:val="0"/>
        <w:adjustRightInd w:val="0"/>
        <w:rPr>
          <w:i/>
          <w:iCs/>
        </w:rPr>
      </w:pPr>
    </w:p>
    <w:p w:rsidR="004419ED" w:rsidRPr="00AA69ED" w:rsidRDefault="004419ED" w:rsidP="00AA69ED">
      <w:pPr>
        <w:numPr>
          <w:ilvl w:val="0"/>
          <w:numId w:val="5"/>
        </w:numPr>
        <w:autoSpaceDE w:val="0"/>
        <w:autoSpaceDN w:val="0"/>
        <w:adjustRightInd w:val="0"/>
      </w:pPr>
      <w:r w:rsidRPr="00AA69ED">
        <w:t xml:space="preserve">Also as of January 1, </w:t>
      </w:r>
      <w:r w:rsidR="003537C6">
        <w:t>2020</w:t>
      </w:r>
      <w:r w:rsidRPr="00AA69ED">
        <w:t>, the City Council approved and the mayor</w:t>
      </w:r>
      <w:r w:rsidR="0035335A" w:rsidRPr="00AA69ED">
        <w:t xml:space="preserve"> </w:t>
      </w:r>
      <w:r w:rsidRPr="00AA69ED">
        <w:t>signed a budget for the Street and Highway Fund that provided for estimated</w:t>
      </w:r>
      <w:r w:rsidR="0035335A" w:rsidRPr="00AA69ED">
        <w:t xml:space="preserve"> </w:t>
      </w:r>
      <w:r w:rsidRPr="00AA69ED">
        <w:t>revenues from the state government in the amount of $</w:t>
      </w:r>
      <w:r w:rsidR="001E64D6">
        <w:t>1,068</w:t>
      </w:r>
      <w:r w:rsidRPr="00AA69ED">
        <w:t>,000 and</w:t>
      </w:r>
      <w:r w:rsidR="0035335A" w:rsidRPr="00AA69ED">
        <w:t xml:space="preserve"> </w:t>
      </w:r>
      <w:r w:rsidRPr="00AA69ED">
        <w:t>appropriations of $</w:t>
      </w:r>
      <w:r w:rsidR="001E64D6">
        <w:t>1</w:t>
      </w:r>
      <w:r w:rsidR="007E149B">
        <w:t>,05</w:t>
      </w:r>
      <w:r w:rsidR="001E64D6">
        <w:t>7</w:t>
      </w:r>
      <w:r w:rsidRPr="00AA69ED">
        <w:t>,000. Record the budget and</w:t>
      </w:r>
      <w:r w:rsidR="0035335A" w:rsidRPr="00AA69ED">
        <w:t xml:space="preserve"> </w:t>
      </w:r>
      <w:r w:rsidRPr="00AA69ED">
        <w:t>post to the ledger.</w:t>
      </w:r>
    </w:p>
    <w:p w:rsidR="002F4483" w:rsidRPr="00AA69ED" w:rsidRDefault="002F4483" w:rsidP="004419ED"/>
    <w:p w:rsidR="002F4483" w:rsidRPr="00C42490" w:rsidRDefault="002F4483" w:rsidP="00CD13C2">
      <w:pPr>
        <w:autoSpaceDE w:val="0"/>
        <w:autoSpaceDN w:val="0"/>
        <w:adjustRightInd w:val="0"/>
        <w:ind w:left="720" w:hanging="720"/>
        <w:rPr>
          <w:b/>
          <w:i/>
        </w:rPr>
      </w:pPr>
      <w:r w:rsidRPr="00C42490">
        <w:rPr>
          <w:b/>
          <w:i/>
        </w:rPr>
        <w:t xml:space="preserve">4–C. </w:t>
      </w:r>
      <w:r w:rsidRPr="00C42490">
        <w:rPr>
          <w:b/>
          <w:i/>
          <w:iCs/>
        </w:rPr>
        <w:t xml:space="preserve">Part 1. </w:t>
      </w:r>
      <w:r w:rsidR="00C42490" w:rsidRPr="00C42490">
        <w:rPr>
          <w:b/>
          <w:i/>
        </w:rPr>
        <w:t>General Fund Transactions</w:t>
      </w:r>
    </w:p>
    <w:p w:rsidR="002F4483" w:rsidRPr="00AA69ED" w:rsidRDefault="002F4483" w:rsidP="002F4483">
      <w:pPr>
        <w:autoSpaceDE w:val="0"/>
        <w:autoSpaceDN w:val="0"/>
        <w:adjustRightInd w:val="0"/>
        <w:rPr>
          <w:i/>
          <w:iCs/>
        </w:rPr>
      </w:pPr>
    </w:p>
    <w:p w:rsidR="002F4483" w:rsidRPr="00AA69ED" w:rsidRDefault="002F4483" w:rsidP="002F4483">
      <w:pPr>
        <w:autoSpaceDE w:val="0"/>
        <w:autoSpaceDN w:val="0"/>
        <w:adjustRightInd w:val="0"/>
        <w:rPr>
          <w:i/>
          <w:iCs/>
        </w:rPr>
      </w:pPr>
      <w:r w:rsidRPr="00AA69ED">
        <w:rPr>
          <w:i/>
          <w:iCs/>
        </w:rPr>
        <w:t>Required:</w:t>
      </w:r>
    </w:p>
    <w:p w:rsidR="00C42490" w:rsidRDefault="002F4483" w:rsidP="00C42490">
      <w:pPr>
        <w:autoSpaceDE w:val="0"/>
        <w:autoSpaceDN w:val="0"/>
        <w:adjustRightInd w:val="0"/>
        <w:ind w:left="288" w:hanging="288"/>
      </w:pPr>
      <w:r w:rsidRPr="00AA69ED">
        <w:rPr>
          <w:i/>
          <w:iCs/>
        </w:rPr>
        <w:t xml:space="preserve">a. </w:t>
      </w:r>
      <w:r w:rsidRPr="00AA69ED">
        <w:t xml:space="preserve">Record </w:t>
      </w:r>
      <w:r w:rsidR="004244CF">
        <w:t>journal entries for</w:t>
      </w:r>
      <w:r w:rsidRPr="00AA69ED">
        <w:t xml:space="preserve"> the following transactions for FY </w:t>
      </w:r>
      <w:r w:rsidR="003537C6">
        <w:t>2020</w:t>
      </w:r>
      <w:r w:rsidRPr="00AA69ED">
        <w:t>.</w:t>
      </w:r>
      <w:r w:rsidR="002E405D" w:rsidRPr="00AA69ED">
        <w:t xml:space="preserve"> </w:t>
      </w:r>
      <w:r w:rsidRPr="00AA69ED">
        <w:t xml:space="preserve">Make any computations to the nearest dollar. </w:t>
      </w:r>
      <w:r w:rsidR="00CD13C2">
        <w:t>Journal entry e</w:t>
      </w:r>
      <w:r w:rsidRPr="00AA69ED">
        <w:t>xplanations</w:t>
      </w:r>
      <w:r w:rsidR="002E405D" w:rsidRPr="00AA69ED">
        <w:t xml:space="preserve"> </w:t>
      </w:r>
      <w:r w:rsidRPr="00AA69ED">
        <w:t>are not required.</w:t>
      </w:r>
      <w:r w:rsidR="00C42490">
        <w:t xml:space="preserve">  Use control accounts for revenues, expenditures and budgetary accounts.  It is not necessary to reflect subsidiary ledger entries. </w:t>
      </w:r>
    </w:p>
    <w:p w:rsidR="002F4483" w:rsidRPr="00AA69ED" w:rsidRDefault="002F4483" w:rsidP="00C42490">
      <w:pPr>
        <w:autoSpaceDE w:val="0"/>
        <w:autoSpaceDN w:val="0"/>
        <w:adjustRightInd w:val="0"/>
        <w:ind w:left="1296" w:hanging="432"/>
      </w:pPr>
      <w:r w:rsidRPr="00AA69ED">
        <w:t xml:space="preserve">(1) </w:t>
      </w:r>
      <w:r w:rsidR="00B7126A">
        <w:t xml:space="preserve"> </w:t>
      </w:r>
      <w:r w:rsidRPr="00AA69ED">
        <w:t xml:space="preserve">Encumbrances </w:t>
      </w:r>
      <w:r w:rsidR="006A2351">
        <w:t>of $ 1</w:t>
      </w:r>
      <w:r w:rsidR="005A5D62">
        <w:t>9</w:t>
      </w:r>
      <w:r w:rsidR="00CE7A45">
        <w:t xml:space="preserve">,000 </w:t>
      </w:r>
      <w:r w:rsidR="002C7A67">
        <w:t xml:space="preserve">for purchase orders </w:t>
      </w:r>
      <w:r w:rsidRPr="00AA69ED">
        <w:t xml:space="preserve">outstanding at the end of </w:t>
      </w:r>
      <w:r w:rsidR="003537C6">
        <w:t>2019</w:t>
      </w:r>
      <w:r w:rsidRPr="00AA69ED">
        <w:t xml:space="preserve"> were re</w:t>
      </w:r>
      <w:r w:rsidR="00CD13C2">
        <w:t>-</w:t>
      </w:r>
      <w:r w:rsidRPr="00AA69ED">
        <w:t>established.</w:t>
      </w:r>
    </w:p>
    <w:p w:rsidR="002F4483" w:rsidRPr="00AA69ED" w:rsidRDefault="002F4483" w:rsidP="00B7126A">
      <w:pPr>
        <w:autoSpaceDE w:val="0"/>
        <w:autoSpaceDN w:val="0"/>
        <w:adjustRightInd w:val="0"/>
        <w:ind w:left="1296" w:hanging="432"/>
      </w:pPr>
      <w:r w:rsidRPr="00AA69ED">
        <w:t xml:space="preserve">(2) The January 1, </w:t>
      </w:r>
      <w:r w:rsidR="003537C6">
        <w:t>2020</w:t>
      </w:r>
      <w:r w:rsidRPr="00AA69ED">
        <w:t xml:space="preserve">, balance in Deferred </w:t>
      </w:r>
      <w:r w:rsidR="006A2351">
        <w:t>Inflows – Property Taxes</w:t>
      </w:r>
      <w:r w:rsidRPr="00AA69ED">
        <w:t xml:space="preserve"> relates</w:t>
      </w:r>
      <w:r w:rsidR="002E405D" w:rsidRPr="00AA69ED">
        <w:t xml:space="preserve"> </w:t>
      </w:r>
      <w:r w:rsidRPr="00AA69ED">
        <w:t xml:space="preserve">to the amount of the </w:t>
      </w:r>
      <w:r w:rsidR="003537C6">
        <w:t>2019</w:t>
      </w:r>
      <w:r w:rsidRPr="00AA69ED">
        <w:t xml:space="preserve"> levy that was expected to be collected</w:t>
      </w:r>
      <w:r w:rsidR="002E405D" w:rsidRPr="00AA69ED">
        <w:t xml:space="preserve"> </w:t>
      </w:r>
      <w:r w:rsidRPr="00AA69ED">
        <w:t>more than 60 days after December 31. This amount should be recognized</w:t>
      </w:r>
      <w:r w:rsidR="002E405D" w:rsidRPr="00AA69ED">
        <w:t xml:space="preserve"> </w:t>
      </w:r>
      <w:r w:rsidRPr="00AA69ED">
        <w:t xml:space="preserve">as </w:t>
      </w:r>
      <w:r w:rsidR="003537C6">
        <w:t>2020</w:t>
      </w:r>
      <w:r w:rsidRPr="00AA69ED">
        <w:t xml:space="preserve"> revenues.</w:t>
      </w:r>
    </w:p>
    <w:p w:rsidR="002F4483" w:rsidRPr="00AA69ED" w:rsidRDefault="002F4483" w:rsidP="00B7126A">
      <w:pPr>
        <w:autoSpaceDE w:val="0"/>
        <w:autoSpaceDN w:val="0"/>
        <w:adjustRightInd w:val="0"/>
        <w:ind w:left="1296" w:hanging="432"/>
      </w:pPr>
      <w:r w:rsidRPr="00AA69ED">
        <w:t>(3) A genera</w:t>
      </w:r>
      <w:r w:rsidR="006A2351">
        <w:t>l tax levy in the amount of $</w:t>
      </w:r>
      <w:r w:rsidR="007E149B">
        <w:t>7,000</w:t>
      </w:r>
      <w:r w:rsidRPr="00AA69ED">
        <w:t>,000 was made. It is estimated</w:t>
      </w:r>
      <w:r w:rsidR="002E405D" w:rsidRPr="00AA69ED">
        <w:t xml:space="preserve"> </w:t>
      </w:r>
      <w:r w:rsidR="007C577B">
        <w:t>that 2</w:t>
      </w:r>
      <w:r w:rsidR="00341CD8">
        <w:t xml:space="preserve">¼ </w:t>
      </w:r>
      <w:r w:rsidRPr="00AA69ED">
        <w:t xml:space="preserve">percent </w:t>
      </w:r>
      <w:r w:rsidR="00341CD8">
        <w:t xml:space="preserve">(.0225) </w:t>
      </w:r>
      <w:r w:rsidRPr="00AA69ED">
        <w:t>of the tax will be uncollectible.</w:t>
      </w:r>
    </w:p>
    <w:p w:rsidR="002F4483" w:rsidRPr="00AA69ED" w:rsidRDefault="002F4483" w:rsidP="00B7126A">
      <w:pPr>
        <w:autoSpaceDE w:val="0"/>
        <w:autoSpaceDN w:val="0"/>
        <w:adjustRightInd w:val="0"/>
        <w:ind w:left="1296" w:hanging="432"/>
      </w:pPr>
      <w:r w:rsidRPr="00AA69ED">
        <w:t>(4) Tax antici</w:t>
      </w:r>
      <w:r w:rsidR="006A2351">
        <w:t>pation notes in the amount of $5</w:t>
      </w:r>
      <w:r w:rsidRPr="00AA69ED">
        <w:t>00,000 were issued.</w:t>
      </w:r>
    </w:p>
    <w:p w:rsidR="002F4483" w:rsidRPr="00AA69ED" w:rsidRDefault="002F4483" w:rsidP="00B7126A">
      <w:pPr>
        <w:autoSpaceDE w:val="0"/>
        <w:autoSpaceDN w:val="0"/>
        <w:adjustRightInd w:val="0"/>
        <w:ind w:left="1296" w:hanging="432"/>
      </w:pPr>
      <w:r w:rsidRPr="00AA69ED">
        <w:t>(5) Goods and supplies related to all encumbrances outstanding as of</w:t>
      </w:r>
      <w:r w:rsidR="002E405D" w:rsidRPr="00AA69ED">
        <w:t xml:space="preserve"> </w:t>
      </w:r>
      <w:r w:rsidRPr="00AA69ED">
        <w:t xml:space="preserve">December 31, </w:t>
      </w:r>
      <w:r w:rsidR="003537C6">
        <w:t>2019</w:t>
      </w:r>
      <w:r w:rsidRPr="00AA69ED">
        <w:t xml:space="preserve"> were received, along with invoices amounting to</w:t>
      </w:r>
      <w:r w:rsidR="002E405D" w:rsidRPr="00AA69ED">
        <w:t xml:space="preserve"> </w:t>
      </w:r>
      <w:r w:rsidR="006A2351">
        <w:t>$</w:t>
      </w:r>
      <w:r w:rsidR="005640D3">
        <w:t>18,700</w:t>
      </w:r>
      <w:r w:rsidR="005A5D62">
        <w:t>.  T</w:t>
      </w:r>
      <w:r w:rsidRPr="00AA69ED">
        <w:t>he invoices were approved for payment.</w:t>
      </w:r>
      <w:r w:rsidR="00CD13C2">
        <w:t xml:space="preserve">  The City maintains immaterial </w:t>
      </w:r>
      <w:r w:rsidR="00CE7A45">
        <w:t xml:space="preserve">amounts in </w:t>
      </w:r>
      <w:r w:rsidR="00CD13C2">
        <w:t>supply inventories and it is the practice of the City to charge supplies to expenditure when received.</w:t>
      </w:r>
    </w:p>
    <w:p w:rsidR="002F4483" w:rsidRPr="00AA69ED" w:rsidRDefault="002F4483" w:rsidP="00B7126A">
      <w:pPr>
        <w:autoSpaceDE w:val="0"/>
        <w:autoSpaceDN w:val="0"/>
        <w:adjustRightInd w:val="0"/>
        <w:ind w:left="1296" w:hanging="432"/>
      </w:pPr>
      <w:r w:rsidRPr="00AA69ED">
        <w:t xml:space="preserve">(6) All </w:t>
      </w:r>
      <w:r w:rsidR="006A2351">
        <w:t>accounts payable</w:t>
      </w:r>
      <w:r w:rsidRPr="00AA69ED">
        <w:t xml:space="preserve"> and the amount due other funds were paid.</w:t>
      </w:r>
    </w:p>
    <w:p w:rsidR="00CD13C2" w:rsidRDefault="002F4483" w:rsidP="00B7126A">
      <w:pPr>
        <w:autoSpaceDE w:val="0"/>
        <w:autoSpaceDN w:val="0"/>
        <w:adjustRightInd w:val="0"/>
        <w:ind w:left="1296" w:hanging="432"/>
      </w:pPr>
      <w:r w:rsidRPr="00AA69ED">
        <w:t xml:space="preserve">(7) The General Fund collected the following in cash: </w:t>
      </w:r>
    </w:p>
    <w:p w:rsidR="00CD13C2" w:rsidRDefault="00CD13C2" w:rsidP="00B7126A">
      <w:pPr>
        <w:numPr>
          <w:ilvl w:val="0"/>
          <w:numId w:val="9"/>
        </w:numPr>
        <w:autoSpaceDE w:val="0"/>
        <w:autoSpaceDN w:val="0"/>
        <w:adjustRightInd w:val="0"/>
      </w:pPr>
      <w:r>
        <w:t>prior year</w:t>
      </w:r>
      <w:r w:rsidR="002F4483" w:rsidRPr="00AA69ED">
        <w:t xml:space="preserve"> taxes,</w:t>
      </w:r>
      <w:r w:rsidR="002E405D" w:rsidRPr="00AA69ED">
        <w:t xml:space="preserve"> </w:t>
      </w:r>
      <w:r w:rsidR="00F87059">
        <w:t>$158</w:t>
      </w:r>
      <w:r w:rsidR="002F4483" w:rsidRPr="00AA69ED">
        <w:t xml:space="preserve">,000; </w:t>
      </w:r>
    </w:p>
    <w:p w:rsidR="00CD13C2" w:rsidRDefault="002F4483" w:rsidP="00B7126A">
      <w:pPr>
        <w:numPr>
          <w:ilvl w:val="0"/>
          <w:numId w:val="9"/>
        </w:numPr>
        <w:autoSpaceDE w:val="0"/>
        <w:autoSpaceDN w:val="0"/>
        <w:adjustRightInd w:val="0"/>
      </w:pPr>
      <w:r w:rsidRPr="00AA69ED">
        <w:t xml:space="preserve">interest and penalties receivable on </w:t>
      </w:r>
      <w:r w:rsidR="00DC3C42">
        <w:t xml:space="preserve">prior year </w:t>
      </w:r>
      <w:r w:rsidR="00CC7216">
        <w:t>taxes, $3</w:t>
      </w:r>
      <w:r w:rsidRPr="00AA69ED">
        <w:t xml:space="preserve">,500; </w:t>
      </w:r>
    </w:p>
    <w:p w:rsidR="00CD13C2" w:rsidRDefault="002F4483" w:rsidP="00B7126A">
      <w:pPr>
        <w:numPr>
          <w:ilvl w:val="0"/>
          <w:numId w:val="9"/>
        </w:numPr>
        <w:autoSpaceDE w:val="0"/>
        <w:autoSpaceDN w:val="0"/>
        <w:adjustRightInd w:val="0"/>
      </w:pPr>
      <w:r w:rsidRPr="00AA69ED">
        <w:t>current</w:t>
      </w:r>
      <w:r w:rsidR="002E405D" w:rsidRPr="00AA69ED">
        <w:t xml:space="preserve"> </w:t>
      </w:r>
      <w:r w:rsidR="00F87059">
        <w:t>taxes, $6,4</w:t>
      </w:r>
      <w:r w:rsidRPr="00AA69ED">
        <w:t xml:space="preserve">00,000; </w:t>
      </w:r>
    </w:p>
    <w:p w:rsidR="00CD13C2" w:rsidRDefault="00CC7216" w:rsidP="00B7126A">
      <w:pPr>
        <w:numPr>
          <w:ilvl w:val="0"/>
          <w:numId w:val="9"/>
        </w:numPr>
        <w:autoSpaceDE w:val="0"/>
        <w:autoSpaceDN w:val="0"/>
        <w:adjustRightInd w:val="0"/>
      </w:pPr>
      <w:r>
        <w:t>$2</w:t>
      </w:r>
      <w:r w:rsidR="005A5D62">
        <w:t>24</w:t>
      </w:r>
      <w:r w:rsidR="002F4483" w:rsidRPr="00AA69ED">
        <w:t xml:space="preserve">,000 </w:t>
      </w:r>
      <w:r w:rsidR="00DC3C42">
        <w:t xml:space="preserve">previously recorded as </w:t>
      </w:r>
      <w:r w:rsidR="002F4483" w:rsidRPr="00AA69ED">
        <w:t xml:space="preserve">due from the state government; </w:t>
      </w:r>
    </w:p>
    <w:p w:rsidR="00CD13C2" w:rsidRDefault="002F4483" w:rsidP="00B7126A">
      <w:pPr>
        <w:numPr>
          <w:ilvl w:val="0"/>
          <w:numId w:val="9"/>
        </w:numPr>
        <w:autoSpaceDE w:val="0"/>
        <w:autoSpaceDN w:val="0"/>
        <w:adjustRightInd w:val="0"/>
      </w:pPr>
      <w:r w:rsidRPr="00AA69ED">
        <w:t>licenses</w:t>
      </w:r>
      <w:r w:rsidR="002E405D" w:rsidRPr="00AA69ED">
        <w:t xml:space="preserve"> </w:t>
      </w:r>
      <w:r w:rsidR="00F87059">
        <w:t>and permits, $800</w:t>
      </w:r>
      <w:r w:rsidRPr="00AA69ED">
        <w:t xml:space="preserve">,000; </w:t>
      </w:r>
    </w:p>
    <w:p w:rsidR="00CD13C2" w:rsidRDefault="00F87059" w:rsidP="00B7126A">
      <w:pPr>
        <w:numPr>
          <w:ilvl w:val="0"/>
          <w:numId w:val="9"/>
        </w:numPr>
        <w:autoSpaceDE w:val="0"/>
        <w:autoSpaceDN w:val="0"/>
        <w:adjustRightInd w:val="0"/>
      </w:pPr>
      <w:r>
        <w:t>sales taxes, $2,89</w:t>
      </w:r>
      <w:r w:rsidR="002F4483" w:rsidRPr="00AA69ED">
        <w:t xml:space="preserve">0,000; and </w:t>
      </w:r>
    </w:p>
    <w:p w:rsidR="002F4483" w:rsidRDefault="002F4483" w:rsidP="00B7126A">
      <w:pPr>
        <w:numPr>
          <w:ilvl w:val="0"/>
          <w:numId w:val="9"/>
        </w:numPr>
        <w:autoSpaceDE w:val="0"/>
        <w:autoSpaceDN w:val="0"/>
        <w:adjustRightInd w:val="0"/>
      </w:pPr>
      <w:r w:rsidRPr="00AA69ED">
        <w:t>miscellaneous</w:t>
      </w:r>
      <w:r w:rsidR="002E405D" w:rsidRPr="00AA69ED">
        <w:t xml:space="preserve"> </w:t>
      </w:r>
      <w:r w:rsidR="00F87059">
        <w:t>revenues, $35</w:t>
      </w:r>
      <w:r w:rsidRPr="00AA69ED">
        <w:t xml:space="preserve">0,000. </w:t>
      </w:r>
    </w:p>
    <w:p w:rsidR="00C42490" w:rsidRPr="00AA69ED" w:rsidRDefault="00C42490" w:rsidP="00C42490">
      <w:pPr>
        <w:autoSpaceDE w:val="0"/>
        <w:autoSpaceDN w:val="0"/>
        <w:adjustRightInd w:val="0"/>
        <w:ind w:left="1512"/>
      </w:pPr>
    </w:p>
    <w:p w:rsidR="002F4483" w:rsidRPr="00AA69ED" w:rsidRDefault="00B7126A" w:rsidP="00B7126A">
      <w:pPr>
        <w:autoSpaceDE w:val="0"/>
        <w:autoSpaceDN w:val="0"/>
        <w:adjustRightInd w:val="0"/>
        <w:ind w:left="1296" w:hanging="432"/>
      </w:pPr>
      <w:r>
        <w:t xml:space="preserve">(8) Purchase orders and </w:t>
      </w:r>
      <w:r w:rsidR="002F4483" w:rsidRPr="00AA69ED">
        <w:t>contract</w:t>
      </w:r>
      <w:r>
        <w:t>s</w:t>
      </w:r>
      <w:r w:rsidR="002F4483" w:rsidRPr="00AA69ED">
        <w:t xml:space="preserve"> were</w:t>
      </w:r>
      <w:r w:rsidR="002E405D" w:rsidRPr="00AA69ED">
        <w:t xml:space="preserve"> </w:t>
      </w:r>
      <w:r w:rsidR="00735AC6">
        <w:t>issued in the amount of $</w:t>
      </w:r>
      <w:r w:rsidR="00507358">
        <w:t>3,4</w:t>
      </w:r>
      <w:r w:rsidR="00F87059">
        <w:t>65</w:t>
      </w:r>
      <w:r w:rsidR="002F4483" w:rsidRPr="00AA69ED">
        <w:t>,000.</w:t>
      </w:r>
    </w:p>
    <w:p w:rsidR="002F4483" w:rsidRPr="00AA69ED" w:rsidRDefault="002F4483" w:rsidP="00F87059">
      <w:pPr>
        <w:autoSpaceDE w:val="0"/>
        <w:autoSpaceDN w:val="0"/>
        <w:adjustRightInd w:val="0"/>
        <w:ind w:left="1296" w:hanging="432"/>
      </w:pPr>
      <w:r w:rsidRPr="00AA69ED">
        <w:t>(9) Payrolls</w:t>
      </w:r>
      <w:r w:rsidR="00507358">
        <w:t xml:space="preserve"> for the General Fund totaled $5</w:t>
      </w:r>
      <w:r w:rsidRPr="00AA69ED">
        <w:t>,</w:t>
      </w:r>
      <w:r w:rsidR="005640D3">
        <w:t>11</w:t>
      </w:r>
      <w:r w:rsidR="00F87059">
        <w:t>0</w:t>
      </w:r>
      <w:r w:rsidRPr="00AA69ED">
        <w:t>,000. Of that amount,</w:t>
      </w:r>
      <w:r w:rsidR="002E405D" w:rsidRPr="00AA69ED">
        <w:t xml:space="preserve"> </w:t>
      </w:r>
      <w:r w:rsidR="00735AC6">
        <w:t>$</w:t>
      </w:r>
      <w:r w:rsidR="0001308E">
        <w:t>464,085</w:t>
      </w:r>
      <w:r w:rsidRPr="00AA69ED">
        <w:t xml:space="preserve"> were withheld for employees’ federal income taxes and</w:t>
      </w:r>
      <w:r w:rsidR="002E405D" w:rsidRPr="00AA69ED">
        <w:t xml:space="preserve"> </w:t>
      </w:r>
      <w:r w:rsidRPr="00AA69ED">
        <w:t>$</w:t>
      </w:r>
      <w:r w:rsidR="0001308E">
        <w:t>390,915</w:t>
      </w:r>
      <w:r w:rsidRPr="00AA69ED">
        <w:t xml:space="preserve"> were withheld for employees’ FICA and Medicare tax liability;</w:t>
      </w:r>
      <w:r w:rsidR="002E405D" w:rsidRPr="00AA69ED">
        <w:t xml:space="preserve"> </w:t>
      </w:r>
      <w:r w:rsidRPr="00AA69ED">
        <w:t>the balance was paid in cash. The encumbrance system is not</w:t>
      </w:r>
      <w:r w:rsidR="002E405D" w:rsidRPr="00AA69ED">
        <w:t xml:space="preserve"> </w:t>
      </w:r>
      <w:r w:rsidRPr="00AA69ED">
        <w:t>used for payrolls.</w:t>
      </w:r>
    </w:p>
    <w:p w:rsidR="002F4483" w:rsidRPr="00AA69ED" w:rsidRDefault="002F4483" w:rsidP="00F87059">
      <w:pPr>
        <w:autoSpaceDE w:val="0"/>
        <w:autoSpaceDN w:val="0"/>
        <w:adjustRightInd w:val="0"/>
        <w:ind w:left="1296" w:hanging="432"/>
      </w:pPr>
      <w:r w:rsidRPr="00AA69ED">
        <w:t>(10) The liability for the city’s share of FICA and Medicare taxes,</w:t>
      </w:r>
      <w:r w:rsidR="002E405D" w:rsidRPr="00AA69ED">
        <w:t xml:space="preserve"> </w:t>
      </w:r>
      <w:r w:rsidR="00735AC6">
        <w:t>$</w:t>
      </w:r>
      <w:r w:rsidR="0001308E">
        <w:t>390,915</w:t>
      </w:r>
      <w:r w:rsidRPr="00AA69ED">
        <w:t>, was recorded as was the liability for state unemployment</w:t>
      </w:r>
      <w:r w:rsidR="002E405D" w:rsidRPr="00AA69ED">
        <w:t xml:space="preserve"> </w:t>
      </w:r>
      <w:r w:rsidR="00F87059">
        <w:t>taxes in the amount of $28</w:t>
      </w:r>
      <w:r w:rsidRPr="00AA69ED">
        <w:t>,000.</w:t>
      </w:r>
    </w:p>
    <w:p w:rsidR="002F4483" w:rsidRPr="00AA69ED" w:rsidRDefault="002F4483" w:rsidP="00B7126A">
      <w:pPr>
        <w:autoSpaceDE w:val="0"/>
        <w:autoSpaceDN w:val="0"/>
        <w:adjustRightInd w:val="0"/>
        <w:ind w:left="1296" w:hanging="432"/>
      </w:pPr>
      <w:r w:rsidRPr="00AA69ED">
        <w:t>(11) Invoices for most of the supplies and services ordered in transaction</w:t>
      </w:r>
      <w:r w:rsidR="002E405D" w:rsidRPr="00AA69ED">
        <w:t xml:space="preserve"> </w:t>
      </w:r>
      <w:r w:rsidRPr="00AA69ED">
        <w:t>8 w</w:t>
      </w:r>
      <w:r w:rsidR="009626EA">
        <w:t>ere received in the amount of $3,</w:t>
      </w:r>
      <w:r w:rsidRPr="00AA69ED">
        <w:t>37</w:t>
      </w:r>
      <w:r w:rsidR="00F87059">
        <w:t>5</w:t>
      </w:r>
      <w:r w:rsidRPr="00AA69ED">
        <w:t>,300 and approved for payment.</w:t>
      </w:r>
      <w:r w:rsidR="002E405D" w:rsidRPr="00AA69ED">
        <w:t xml:space="preserve"> </w:t>
      </w:r>
      <w:r w:rsidRPr="00AA69ED">
        <w:t>The re</w:t>
      </w:r>
      <w:r w:rsidR="009626EA">
        <w:t>lated encumbrance amounted to $3,</w:t>
      </w:r>
      <w:r w:rsidR="00F87059">
        <w:t>407</w:t>
      </w:r>
      <w:r w:rsidR="009626EA">
        <w:t>,0</w:t>
      </w:r>
      <w:r w:rsidRPr="00AA69ED">
        <w:t>00.</w:t>
      </w:r>
    </w:p>
    <w:p w:rsidR="002F4483" w:rsidRPr="00AA69ED" w:rsidRDefault="002F4483" w:rsidP="00B7126A">
      <w:pPr>
        <w:autoSpaceDE w:val="0"/>
        <w:autoSpaceDN w:val="0"/>
        <w:adjustRightInd w:val="0"/>
        <w:ind w:left="1296" w:hanging="432"/>
      </w:pPr>
      <w:r w:rsidRPr="00AA69ED">
        <w:t>(12) Tax anticipation notes were paid at maturity, along with interest in</w:t>
      </w:r>
      <w:r w:rsidR="002E405D" w:rsidRPr="00AA69ED">
        <w:t xml:space="preserve"> </w:t>
      </w:r>
      <w:r w:rsidR="006A2351">
        <w:t>the amount of $18</w:t>
      </w:r>
      <w:r w:rsidRPr="00AA69ED">
        <w:t>,000.</w:t>
      </w:r>
    </w:p>
    <w:p w:rsidR="002F4483" w:rsidRPr="00AA69ED" w:rsidRDefault="002F4483" w:rsidP="00B7126A">
      <w:pPr>
        <w:autoSpaceDE w:val="0"/>
        <w:autoSpaceDN w:val="0"/>
        <w:adjustRightInd w:val="0"/>
        <w:ind w:left="1296" w:hanging="432"/>
      </w:pPr>
      <w:r w:rsidRPr="00AA69ED">
        <w:t>(13) Notification was received that an unrestricted state grant in the</w:t>
      </w:r>
      <w:r w:rsidR="002E405D" w:rsidRPr="00AA69ED">
        <w:t xml:space="preserve"> </w:t>
      </w:r>
      <w:r w:rsidR="00F87059">
        <w:t>amount of $33</w:t>
      </w:r>
      <w:r w:rsidR="009626EA">
        <w:t>2</w:t>
      </w:r>
      <w:r w:rsidRPr="00AA69ED">
        <w:t>,000 would be received during the first month of the</w:t>
      </w:r>
      <w:r w:rsidR="002E405D" w:rsidRPr="00AA69ED">
        <w:t xml:space="preserve"> </w:t>
      </w:r>
      <w:r w:rsidRPr="00AA69ED">
        <w:t>next year.</w:t>
      </w:r>
    </w:p>
    <w:p w:rsidR="002F4483" w:rsidRPr="00AA69ED" w:rsidRDefault="002F4483" w:rsidP="00B7126A">
      <w:pPr>
        <w:autoSpaceDE w:val="0"/>
        <w:autoSpaceDN w:val="0"/>
        <w:adjustRightInd w:val="0"/>
        <w:ind w:left="1296" w:hanging="432"/>
      </w:pPr>
      <w:r w:rsidRPr="00AA69ED">
        <w:t>(14) The General Fund recorded a liability to the Water and Sewer Fund</w:t>
      </w:r>
      <w:r w:rsidR="002E405D" w:rsidRPr="00AA69ED">
        <w:t xml:space="preserve"> </w:t>
      </w:r>
      <w:r w:rsidRPr="00AA69ED">
        <w:t>f</w:t>
      </w:r>
      <w:r w:rsidR="00F00964">
        <w:t>or services in the amount of $37</w:t>
      </w:r>
      <w:r w:rsidRPr="00AA69ED">
        <w:t>,000 and to the Stores and Services</w:t>
      </w:r>
      <w:r w:rsidR="002E405D" w:rsidRPr="00AA69ED">
        <w:t xml:space="preserve"> </w:t>
      </w:r>
      <w:r w:rsidRPr="00AA69ED">
        <w:t>Fund for supplie</w:t>
      </w:r>
      <w:r w:rsidR="00F00964">
        <w:t>s in the amount of $313,200; $31</w:t>
      </w:r>
      <w:r w:rsidRPr="00AA69ED">
        <w:t>0,000 of the</w:t>
      </w:r>
      <w:r w:rsidR="00B7126A">
        <w:t xml:space="preserve"> </w:t>
      </w:r>
      <w:r w:rsidRPr="00AA69ED">
        <w:t>amount due the Stores and Services Fund was paid.</w:t>
      </w:r>
    </w:p>
    <w:p w:rsidR="002F4483" w:rsidRPr="00AA69ED" w:rsidRDefault="002F4483" w:rsidP="00B7126A">
      <w:pPr>
        <w:autoSpaceDE w:val="0"/>
        <w:autoSpaceDN w:val="0"/>
        <w:adjustRightInd w:val="0"/>
        <w:ind w:left="1296" w:hanging="432"/>
      </w:pPr>
      <w:r w:rsidRPr="00AA69ED">
        <w:t>(15) The General Fu</w:t>
      </w:r>
      <w:r w:rsidR="009626EA">
        <w:t xml:space="preserve">nd recorded an amount </w:t>
      </w:r>
      <w:r w:rsidR="005640D3">
        <w:t>due of $48</w:t>
      </w:r>
      <w:r w:rsidRPr="00AA69ED">
        <w:t>,000 from the state</w:t>
      </w:r>
      <w:r w:rsidR="002E405D" w:rsidRPr="00AA69ED">
        <w:t xml:space="preserve"> </w:t>
      </w:r>
      <w:r w:rsidRPr="00AA69ED">
        <w:t>government, representing sales taxes to be collected from retail sales</w:t>
      </w:r>
      <w:r w:rsidR="002E405D" w:rsidRPr="00AA69ED">
        <w:t xml:space="preserve"> </w:t>
      </w:r>
      <w:r w:rsidRPr="00AA69ED">
        <w:t>taking place during the last week of the year.</w:t>
      </w:r>
    </w:p>
    <w:p w:rsidR="002F4483" w:rsidRPr="00AA69ED" w:rsidRDefault="002F4483" w:rsidP="00B7126A">
      <w:pPr>
        <w:autoSpaceDE w:val="0"/>
        <w:autoSpaceDN w:val="0"/>
        <w:adjustRightInd w:val="0"/>
        <w:ind w:left="1296" w:hanging="432"/>
      </w:pPr>
      <w:r w:rsidRPr="00AA69ED">
        <w:t>(16) The General Fund pai</w:t>
      </w:r>
      <w:r w:rsidR="009626EA">
        <w:t xml:space="preserve">d </w:t>
      </w:r>
      <w:r w:rsidR="00C8127A">
        <w:t>accounts payable in the amount of $3,</w:t>
      </w:r>
      <w:r w:rsidR="00341CD8">
        <w:t>17</w:t>
      </w:r>
      <w:r w:rsidR="00C8127A">
        <w:t>5</w:t>
      </w:r>
      <w:r w:rsidRPr="00AA69ED">
        <w:t>,000 and</w:t>
      </w:r>
      <w:r w:rsidR="002E405D" w:rsidRPr="00AA69ED">
        <w:t xml:space="preserve"> </w:t>
      </w:r>
      <w:r w:rsidRPr="00AA69ED">
        <w:t>paid the amounts due the federal and state governments. The General</w:t>
      </w:r>
      <w:r w:rsidR="002E405D" w:rsidRPr="00AA69ED">
        <w:t xml:space="preserve"> </w:t>
      </w:r>
      <w:r w:rsidRPr="00AA69ED">
        <w:t>Fund also transferred to the debt service funds cash in the amount of</w:t>
      </w:r>
      <w:r w:rsidR="002E405D" w:rsidRPr="00AA69ED">
        <w:t xml:space="preserve"> </w:t>
      </w:r>
      <w:r w:rsidR="00CC4CA2">
        <w:t>$1,6</w:t>
      </w:r>
      <w:r w:rsidR="0017568E">
        <w:t>62</w:t>
      </w:r>
      <w:r w:rsidRPr="00AA69ED">
        <w:t>,000 for the recurring payment of principal and interest.</w:t>
      </w:r>
    </w:p>
    <w:p w:rsidR="002F4483" w:rsidRPr="00AA69ED" w:rsidRDefault="002F4483" w:rsidP="00B7126A">
      <w:pPr>
        <w:autoSpaceDE w:val="0"/>
        <w:autoSpaceDN w:val="0"/>
        <w:adjustRightInd w:val="0"/>
        <w:ind w:left="1296" w:hanging="432"/>
      </w:pPr>
      <w:r w:rsidRPr="00AA69ED">
        <w:t>(17) All required legal steps were accomplished to increase appropriations</w:t>
      </w:r>
      <w:r w:rsidR="002E405D" w:rsidRPr="00AA69ED">
        <w:t xml:space="preserve"> </w:t>
      </w:r>
      <w:r w:rsidR="009626EA">
        <w:t>by the net amount of $</w:t>
      </w:r>
      <w:r w:rsidR="00341CD8">
        <w:t>109</w:t>
      </w:r>
      <w:r w:rsidRPr="00AA69ED">
        <w:t>,000. Estimated revenues were increased</w:t>
      </w:r>
      <w:r w:rsidR="002E405D" w:rsidRPr="00AA69ED">
        <w:t xml:space="preserve"> </w:t>
      </w:r>
      <w:r w:rsidR="00C8127A">
        <w:t>by $7</w:t>
      </w:r>
      <w:r w:rsidR="00AF5BBB">
        <w:t>3</w:t>
      </w:r>
      <w:r w:rsidRPr="00AA69ED">
        <w:t>,000.</w:t>
      </w:r>
    </w:p>
    <w:p w:rsidR="002F4483" w:rsidRPr="00AA69ED" w:rsidRDefault="002F4483" w:rsidP="00B7126A">
      <w:pPr>
        <w:autoSpaceDE w:val="0"/>
        <w:autoSpaceDN w:val="0"/>
        <w:adjustRightInd w:val="0"/>
        <w:ind w:left="1296" w:hanging="432"/>
      </w:pPr>
      <w:r w:rsidRPr="00AA69ED">
        <w:t>(18) The City Counc</w:t>
      </w:r>
      <w:r w:rsidR="009626EA">
        <w:t>il authorized a write-off of $</w:t>
      </w:r>
      <w:r w:rsidR="00C8127A">
        <w:t>51,000</w:t>
      </w:r>
      <w:r w:rsidRPr="00AA69ED">
        <w:t xml:space="preserve"> in delinquent</w:t>
      </w:r>
      <w:r w:rsidR="002E405D" w:rsidRPr="00AA69ED">
        <w:t xml:space="preserve"> </w:t>
      </w:r>
      <w:r w:rsidRPr="00AA69ED">
        <w:t>property taxes and corresponding interest and penalties amounting</w:t>
      </w:r>
      <w:r w:rsidR="002E405D" w:rsidRPr="00AA69ED">
        <w:t xml:space="preserve"> </w:t>
      </w:r>
      <w:r w:rsidR="00C8127A">
        <w:t>to $1,6</w:t>
      </w:r>
      <w:r w:rsidRPr="00AA69ED">
        <w:t>00.</w:t>
      </w:r>
    </w:p>
    <w:p w:rsidR="002F4483" w:rsidRPr="00AA69ED" w:rsidRDefault="002F4483" w:rsidP="00B7126A">
      <w:pPr>
        <w:autoSpaceDE w:val="0"/>
        <w:autoSpaceDN w:val="0"/>
        <w:adjustRightInd w:val="0"/>
        <w:ind w:left="1296" w:hanging="432"/>
      </w:pPr>
      <w:r w:rsidRPr="00AA69ED">
        <w:t>(19) Interest and penalties</w:t>
      </w:r>
      <w:r w:rsidR="002E405D" w:rsidRPr="00AA69ED">
        <w:t xml:space="preserve"> </w:t>
      </w:r>
      <w:r w:rsidRPr="00AA69ED">
        <w:t xml:space="preserve">receivable on taxes </w:t>
      </w:r>
      <w:r w:rsidR="00AF5BBB">
        <w:t>were accrued in the amount of $</w:t>
      </w:r>
      <w:r w:rsidR="00C8127A">
        <w:t>17,200</w:t>
      </w:r>
      <w:r w:rsidRPr="00AA69ED">
        <w:t>;</w:t>
      </w:r>
      <w:r w:rsidR="002E405D" w:rsidRPr="00AA69ED">
        <w:t xml:space="preserve"> </w:t>
      </w:r>
      <w:r w:rsidR="00AF5BBB">
        <w:t>$1,1</w:t>
      </w:r>
      <w:r w:rsidRPr="00AA69ED">
        <w:t>00 of this amount is expected to be uncollectible.</w:t>
      </w:r>
    </w:p>
    <w:p w:rsidR="002F4483" w:rsidRPr="00AA69ED" w:rsidRDefault="002F4483" w:rsidP="00B7126A">
      <w:pPr>
        <w:autoSpaceDE w:val="0"/>
        <w:autoSpaceDN w:val="0"/>
        <w:adjustRightInd w:val="0"/>
        <w:ind w:left="1296" w:hanging="432"/>
      </w:pPr>
      <w:r w:rsidRPr="00AA69ED">
        <w:t>(20) It is estimate</w:t>
      </w:r>
      <w:r w:rsidR="00AF5BBB">
        <w:t>d that $</w:t>
      </w:r>
      <w:r w:rsidR="005640D3">
        <w:t>17</w:t>
      </w:r>
      <w:r w:rsidR="00C8127A">
        <w:t>,5</w:t>
      </w:r>
      <w:r w:rsidR="00B7126A">
        <w:t>00 of the outstanding</w:t>
      </w:r>
      <w:r w:rsidRPr="00AA69ED">
        <w:t xml:space="preserve"> taxes receivable will be</w:t>
      </w:r>
      <w:r w:rsidR="002E405D" w:rsidRPr="00AA69ED">
        <w:t xml:space="preserve"> </w:t>
      </w:r>
      <w:r w:rsidRPr="00AA69ED">
        <w:t>collected more than 60 days beyond the fiscal year-end.</w:t>
      </w:r>
      <w:r w:rsidR="002E405D" w:rsidRPr="00AA69ED">
        <w:t xml:space="preserve"> </w:t>
      </w:r>
    </w:p>
    <w:p w:rsidR="002E405D" w:rsidRPr="00AA69ED" w:rsidRDefault="002E405D" w:rsidP="00CD13C2">
      <w:pPr>
        <w:autoSpaceDE w:val="0"/>
        <w:autoSpaceDN w:val="0"/>
        <w:adjustRightInd w:val="0"/>
        <w:ind w:left="1152" w:hanging="288"/>
        <w:rPr>
          <w:i/>
          <w:iCs/>
        </w:rPr>
      </w:pPr>
    </w:p>
    <w:p w:rsidR="002F4483" w:rsidRDefault="002F4483" w:rsidP="00C42490">
      <w:pPr>
        <w:autoSpaceDE w:val="0"/>
        <w:autoSpaceDN w:val="0"/>
        <w:adjustRightInd w:val="0"/>
        <w:ind w:left="288" w:hanging="288"/>
      </w:pPr>
      <w:r w:rsidRPr="00AA69ED">
        <w:rPr>
          <w:i/>
          <w:iCs/>
        </w:rPr>
        <w:t xml:space="preserve">b. </w:t>
      </w:r>
      <w:r w:rsidRPr="00AA69ED">
        <w:t xml:space="preserve">Post </w:t>
      </w:r>
      <w:r w:rsidR="00C777A8">
        <w:t>the entries to the general ledger</w:t>
      </w:r>
      <w:r w:rsidRPr="00AA69ED">
        <w:t xml:space="preserve">. </w:t>
      </w:r>
    </w:p>
    <w:p w:rsidR="00C42490" w:rsidRPr="00AA69ED" w:rsidRDefault="00C42490" w:rsidP="00C42490">
      <w:pPr>
        <w:autoSpaceDE w:val="0"/>
        <w:autoSpaceDN w:val="0"/>
        <w:adjustRightInd w:val="0"/>
        <w:ind w:left="288" w:hanging="288"/>
      </w:pPr>
    </w:p>
    <w:p w:rsidR="002F4483" w:rsidRDefault="002F4483" w:rsidP="00C42490">
      <w:pPr>
        <w:autoSpaceDE w:val="0"/>
        <w:autoSpaceDN w:val="0"/>
        <w:adjustRightInd w:val="0"/>
        <w:ind w:left="288" w:hanging="288"/>
      </w:pPr>
      <w:r w:rsidRPr="00AA69ED">
        <w:rPr>
          <w:i/>
          <w:iCs/>
        </w:rPr>
        <w:t xml:space="preserve">c. </w:t>
      </w:r>
      <w:r w:rsidRPr="00AA69ED">
        <w:t>Prepare and post the closi</w:t>
      </w:r>
      <w:r w:rsidR="00C42490">
        <w:t>ng entries for the General Fund.   Outstanding encumbrances at year end are classified as Assigned Fund Balance and all remaining net resources are classified as Unassigned Fund Balance.</w:t>
      </w:r>
    </w:p>
    <w:p w:rsidR="00C42490" w:rsidRPr="00AA69ED" w:rsidRDefault="00C42490" w:rsidP="00C42490">
      <w:pPr>
        <w:autoSpaceDE w:val="0"/>
        <w:autoSpaceDN w:val="0"/>
        <w:adjustRightInd w:val="0"/>
        <w:ind w:left="288" w:hanging="288"/>
      </w:pPr>
    </w:p>
    <w:p w:rsidR="00421055" w:rsidRDefault="002F4483" w:rsidP="00421055">
      <w:pPr>
        <w:autoSpaceDE w:val="0"/>
        <w:autoSpaceDN w:val="0"/>
        <w:adjustRightInd w:val="0"/>
        <w:ind w:left="288" w:hanging="288"/>
      </w:pPr>
      <w:r w:rsidRPr="00AA69ED">
        <w:rPr>
          <w:i/>
          <w:iCs/>
        </w:rPr>
        <w:t xml:space="preserve">d. </w:t>
      </w:r>
      <w:r w:rsidR="00421055" w:rsidRPr="00AA69ED">
        <w:t xml:space="preserve">Prepare a Statement of Revenues, Expenditures, and Changes in Fund Balance for the year ended December 31, </w:t>
      </w:r>
      <w:r w:rsidR="003537C6">
        <w:t>2020</w:t>
      </w:r>
      <w:r w:rsidR="00421055" w:rsidRPr="00AA69ED">
        <w:t xml:space="preserve">. </w:t>
      </w:r>
      <w:r w:rsidR="00421055">
        <w:t xml:space="preserve">Confirm that the revenue and expenditure control accounts agree with </w:t>
      </w:r>
      <w:r w:rsidR="00421055" w:rsidRPr="00AA69ED">
        <w:t>the following detail</w:t>
      </w:r>
      <w:r w:rsidR="00622EC0">
        <w:t xml:space="preserve"> </w:t>
      </w:r>
      <w:r w:rsidR="000B4C11">
        <w:t xml:space="preserve">(amounts are assumed) </w:t>
      </w:r>
      <w:r w:rsidR="00622EC0">
        <w:t>and use this information in the Statement</w:t>
      </w:r>
      <w:r w:rsidR="00421055" w:rsidRPr="00AA69ED">
        <w:t>:</w:t>
      </w:r>
    </w:p>
    <w:p w:rsidR="00421055" w:rsidRDefault="00421055" w:rsidP="00421055">
      <w:pPr>
        <w:autoSpaceDE w:val="0"/>
        <w:autoSpaceDN w:val="0"/>
        <w:adjustRightInd w:val="0"/>
        <w:ind w:left="288" w:hanging="288"/>
      </w:pPr>
    </w:p>
    <w:p w:rsidR="00421055" w:rsidRPr="00AA69ED" w:rsidRDefault="00421055" w:rsidP="00421055">
      <w:pPr>
        <w:autoSpaceDE w:val="0"/>
        <w:autoSpaceDN w:val="0"/>
        <w:adjustRightInd w:val="0"/>
        <w:ind w:left="288" w:hanging="288"/>
      </w:pPr>
    </w:p>
    <w:tbl>
      <w:tblPr>
        <w:tblW w:w="8060" w:type="dxa"/>
        <w:tblCellMar>
          <w:left w:w="0" w:type="dxa"/>
          <w:right w:w="0" w:type="dxa"/>
        </w:tblCellMar>
        <w:tblLook w:val="0000"/>
      </w:tblPr>
      <w:tblGrid>
        <w:gridCol w:w="2880"/>
        <w:gridCol w:w="1230"/>
        <w:gridCol w:w="456"/>
        <w:gridCol w:w="2444"/>
        <w:gridCol w:w="1110"/>
      </w:tblGrid>
      <w:tr w:rsidR="00421055" w:rsidRPr="00AA69ED" w:rsidTr="0001308E">
        <w:trPr>
          <w:trHeight w:val="255"/>
        </w:trPr>
        <w:tc>
          <w:tcPr>
            <w:tcW w:w="4050" w:type="dxa"/>
            <w:gridSpan w:val="2"/>
            <w:tcBorders>
              <w:top w:val="nil"/>
              <w:left w:val="nil"/>
              <w:bottom w:val="nil"/>
              <w:right w:val="nil"/>
            </w:tcBorders>
            <w:shd w:val="clear" w:color="auto" w:fill="auto"/>
            <w:noWrap/>
            <w:tcMar>
              <w:top w:w="15" w:type="dxa"/>
              <w:left w:w="15" w:type="dxa"/>
              <w:bottom w:w="0" w:type="dxa"/>
              <w:right w:w="15" w:type="dxa"/>
            </w:tcMar>
            <w:vAlign w:val="bottom"/>
          </w:tcPr>
          <w:p w:rsidR="00421055" w:rsidRPr="00AA69ED" w:rsidRDefault="00421055" w:rsidP="00316FB9">
            <w:pPr>
              <w:jc w:val="center"/>
              <w:rPr>
                <w:b/>
                <w:bCs/>
              </w:rPr>
            </w:pPr>
            <w:r w:rsidRPr="00AA69ED">
              <w:rPr>
                <w:b/>
                <w:bCs/>
              </w:rPr>
              <w:t>Revenues</w:t>
            </w:r>
          </w:p>
        </w:tc>
        <w:tc>
          <w:tcPr>
            <w:tcW w:w="456" w:type="dxa"/>
            <w:tcBorders>
              <w:top w:val="nil"/>
              <w:left w:val="nil"/>
              <w:bottom w:val="nil"/>
              <w:right w:val="nil"/>
            </w:tcBorders>
            <w:shd w:val="clear" w:color="auto" w:fill="auto"/>
            <w:noWrap/>
            <w:tcMar>
              <w:top w:w="15" w:type="dxa"/>
              <w:left w:w="15" w:type="dxa"/>
              <w:bottom w:w="0" w:type="dxa"/>
              <w:right w:w="15" w:type="dxa"/>
            </w:tcMar>
            <w:vAlign w:val="bottom"/>
          </w:tcPr>
          <w:p w:rsidR="00421055" w:rsidRPr="00AA69ED" w:rsidRDefault="00421055" w:rsidP="00316FB9"/>
        </w:tc>
        <w:tc>
          <w:tcPr>
            <w:tcW w:w="3554" w:type="dxa"/>
            <w:gridSpan w:val="2"/>
            <w:tcBorders>
              <w:top w:val="nil"/>
              <w:left w:val="nil"/>
              <w:bottom w:val="nil"/>
              <w:right w:val="nil"/>
            </w:tcBorders>
            <w:shd w:val="clear" w:color="auto" w:fill="auto"/>
            <w:noWrap/>
            <w:tcMar>
              <w:top w:w="15" w:type="dxa"/>
              <w:left w:w="15" w:type="dxa"/>
              <w:bottom w:w="0" w:type="dxa"/>
              <w:right w:w="15" w:type="dxa"/>
            </w:tcMar>
            <w:vAlign w:val="bottom"/>
          </w:tcPr>
          <w:p w:rsidR="00421055" w:rsidRPr="00AA69ED" w:rsidRDefault="00421055" w:rsidP="00316FB9">
            <w:pPr>
              <w:jc w:val="center"/>
              <w:rPr>
                <w:b/>
                <w:bCs/>
              </w:rPr>
            </w:pPr>
            <w:r w:rsidRPr="00AA69ED">
              <w:rPr>
                <w:b/>
                <w:bCs/>
              </w:rPr>
              <w:t>Expenditures</w:t>
            </w:r>
          </w:p>
        </w:tc>
      </w:tr>
      <w:tr w:rsidR="008D370C" w:rsidRPr="00AA69ED" w:rsidTr="0001308E">
        <w:trPr>
          <w:trHeight w:val="255"/>
        </w:trPr>
        <w:tc>
          <w:tcPr>
            <w:tcW w:w="2880" w:type="dxa"/>
            <w:tcBorders>
              <w:top w:val="nil"/>
              <w:left w:val="nil"/>
              <w:bottom w:val="nil"/>
              <w:right w:val="nil"/>
            </w:tcBorders>
            <w:shd w:val="clear" w:color="auto" w:fill="auto"/>
            <w:noWrap/>
            <w:tcMar>
              <w:top w:w="15" w:type="dxa"/>
              <w:left w:w="15" w:type="dxa"/>
              <w:bottom w:w="0" w:type="dxa"/>
              <w:right w:w="15" w:type="dxa"/>
            </w:tcMar>
            <w:vAlign w:val="bottom"/>
          </w:tcPr>
          <w:p w:rsidR="008D370C" w:rsidRPr="00AA69ED" w:rsidRDefault="008D370C" w:rsidP="000B4C11">
            <w:r w:rsidRPr="00AA69ED">
              <w:t xml:space="preserve">Property Taxes </w:t>
            </w:r>
            <w:r w:rsidR="000B4C11">
              <w:t>. . . . . . . . . . .</w:t>
            </w:r>
          </w:p>
        </w:tc>
        <w:tc>
          <w:tcPr>
            <w:tcW w:w="1170" w:type="dxa"/>
            <w:tcBorders>
              <w:top w:val="nil"/>
              <w:left w:val="nil"/>
              <w:bottom w:val="nil"/>
              <w:right w:val="nil"/>
            </w:tcBorders>
            <w:shd w:val="clear" w:color="auto" w:fill="auto"/>
            <w:noWrap/>
            <w:tcMar>
              <w:top w:w="15" w:type="dxa"/>
              <w:left w:w="15" w:type="dxa"/>
              <w:bottom w:w="0" w:type="dxa"/>
              <w:right w:w="15" w:type="dxa"/>
            </w:tcMar>
            <w:vAlign w:val="bottom"/>
          </w:tcPr>
          <w:p w:rsidR="008D370C" w:rsidRDefault="008D370C" w:rsidP="001E315D">
            <w:pPr>
              <w:jc w:val="right"/>
            </w:pPr>
            <w:r>
              <w:t>$6,</w:t>
            </w:r>
            <w:r w:rsidR="001E315D">
              <w:t>846,000</w:t>
            </w:r>
            <w:r>
              <w:t xml:space="preserve"> </w:t>
            </w:r>
          </w:p>
        </w:tc>
        <w:tc>
          <w:tcPr>
            <w:tcW w:w="456" w:type="dxa"/>
            <w:tcBorders>
              <w:top w:val="nil"/>
              <w:left w:val="nil"/>
              <w:bottom w:val="nil"/>
              <w:right w:val="nil"/>
            </w:tcBorders>
            <w:shd w:val="clear" w:color="auto" w:fill="auto"/>
            <w:noWrap/>
            <w:tcMar>
              <w:top w:w="15" w:type="dxa"/>
              <w:left w:w="15" w:type="dxa"/>
              <w:bottom w:w="0" w:type="dxa"/>
              <w:right w:w="15" w:type="dxa"/>
            </w:tcMar>
            <w:vAlign w:val="bottom"/>
          </w:tcPr>
          <w:p w:rsidR="008D370C" w:rsidRPr="00AA69ED" w:rsidRDefault="008D370C" w:rsidP="00316FB9"/>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rsidR="008D370C" w:rsidRPr="00AA69ED" w:rsidRDefault="008D370C" w:rsidP="00316FB9">
            <w:r w:rsidRPr="00AA69ED">
              <w:t xml:space="preserve">General Government . . . </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rsidR="008D370C" w:rsidRDefault="008D370C" w:rsidP="009D500D">
            <w:pPr>
              <w:jc w:val="right"/>
            </w:pPr>
            <w:r>
              <w:t>$</w:t>
            </w:r>
            <w:r w:rsidR="00F676AC">
              <w:t>1,682,915</w:t>
            </w:r>
            <w:r>
              <w:t xml:space="preserve"> </w:t>
            </w:r>
          </w:p>
        </w:tc>
      </w:tr>
      <w:tr w:rsidR="008D370C" w:rsidRPr="00AA69ED" w:rsidTr="0001308E">
        <w:trPr>
          <w:trHeight w:val="255"/>
        </w:trPr>
        <w:tc>
          <w:tcPr>
            <w:tcW w:w="2880" w:type="dxa"/>
            <w:tcBorders>
              <w:top w:val="nil"/>
              <w:left w:val="nil"/>
              <w:bottom w:val="nil"/>
              <w:right w:val="nil"/>
            </w:tcBorders>
            <w:shd w:val="clear" w:color="auto" w:fill="auto"/>
            <w:noWrap/>
            <w:tcMar>
              <w:top w:w="15" w:type="dxa"/>
              <w:left w:w="15" w:type="dxa"/>
              <w:bottom w:w="0" w:type="dxa"/>
              <w:right w:w="15" w:type="dxa"/>
            </w:tcMar>
            <w:vAlign w:val="bottom"/>
          </w:tcPr>
          <w:p w:rsidR="008D370C" w:rsidRPr="00AA69ED" w:rsidRDefault="008D370C" w:rsidP="00316FB9">
            <w:r w:rsidRPr="00AA69ED">
              <w:t xml:space="preserve">Sales Taxes </w:t>
            </w:r>
            <w:r w:rsidR="000B4C11">
              <w:t>. . . . . . . . . . . . . .</w:t>
            </w:r>
          </w:p>
        </w:tc>
        <w:tc>
          <w:tcPr>
            <w:tcW w:w="1170" w:type="dxa"/>
            <w:tcBorders>
              <w:top w:val="nil"/>
              <w:left w:val="nil"/>
              <w:bottom w:val="nil"/>
              <w:right w:val="nil"/>
            </w:tcBorders>
            <w:shd w:val="clear" w:color="auto" w:fill="auto"/>
            <w:noWrap/>
            <w:tcMar>
              <w:top w:w="15" w:type="dxa"/>
              <w:left w:w="15" w:type="dxa"/>
              <w:bottom w:w="0" w:type="dxa"/>
              <w:right w:w="15" w:type="dxa"/>
            </w:tcMar>
            <w:vAlign w:val="bottom"/>
          </w:tcPr>
          <w:p w:rsidR="008D370C" w:rsidRDefault="001E315D">
            <w:pPr>
              <w:jc w:val="right"/>
            </w:pPr>
            <w:r>
              <w:t>2,938</w:t>
            </w:r>
            <w:r w:rsidR="008D370C">
              <w:t>,000</w:t>
            </w:r>
          </w:p>
        </w:tc>
        <w:tc>
          <w:tcPr>
            <w:tcW w:w="456" w:type="dxa"/>
            <w:tcBorders>
              <w:top w:val="nil"/>
              <w:left w:val="nil"/>
              <w:bottom w:val="nil"/>
              <w:right w:val="nil"/>
            </w:tcBorders>
            <w:shd w:val="clear" w:color="auto" w:fill="auto"/>
            <w:noWrap/>
            <w:tcMar>
              <w:top w:w="15" w:type="dxa"/>
              <w:left w:w="15" w:type="dxa"/>
              <w:bottom w:w="0" w:type="dxa"/>
              <w:right w:w="15" w:type="dxa"/>
            </w:tcMar>
            <w:vAlign w:val="bottom"/>
          </w:tcPr>
          <w:p w:rsidR="008D370C" w:rsidRPr="00AA69ED" w:rsidRDefault="008D370C" w:rsidP="00316FB9"/>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rsidR="008D370C" w:rsidRPr="00AA69ED" w:rsidRDefault="008D370C" w:rsidP="00316FB9">
            <w:r w:rsidRPr="00AA69ED">
              <w:t xml:space="preserve">Public Safety . . . . . . . . . </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rsidR="008D370C" w:rsidRDefault="001E315D">
            <w:pPr>
              <w:jc w:val="right"/>
            </w:pPr>
            <w:r>
              <w:t>3,06</w:t>
            </w:r>
            <w:r w:rsidR="009D500D">
              <w:t>6,9</w:t>
            </w:r>
            <w:r w:rsidR="008D370C">
              <w:t>00</w:t>
            </w:r>
          </w:p>
        </w:tc>
      </w:tr>
      <w:tr w:rsidR="008D370C" w:rsidRPr="00AA69ED" w:rsidTr="0001308E">
        <w:trPr>
          <w:trHeight w:val="273"/>
        </w:trPr>
        <w:tc>
          <w:tcPr>
            <w:tcW w:w="2880" w:type="dxa"/>
            <w:tcBorders>
              <w:top w:val="nil"/>
              <w:left w:val="nil"/>
              <w:bottom w:val="nil"/>
              <w:right w:val="nil"/>
            </w:tcBorders>
            <w:shd w:val="clear" w:color="auto" w:fill="auto"/>
            <w:tcMar>
              <w:top w:w="15" w:type="dxa"/>
              <w:left w:w="15" w:type="dxa"/>
              <w:bottom w:w="0" w:type="dxa"/>
              <w:right w:w="15" w:type="dxa"/>
            </w:tcMar>
            <w:vAlign w:val="bottom"/>
          </w:tcPr>
          <w:p w:rsidR="008D370C" w:rsidRPr="00AA69ED" w:rsidRDefault="008D370C" w:rsidP="000B4C11">
            <w:r w:rsidRPr="00AA69ED">
              <w:t xml:space="preserve">Interest </w:t>
            </w:r>
            <w:r w:rsidR="000B4C11">
              <w:t>&amp;</w:t>
            </w:r>
            <w:r w:rsidRPr="00AA69ED">
              <w:t xml:space="preserve"> Penalties on Taxes </w:t>
            </w:r>
          </w:p>
        </w:tc>
        <w:tc>
          <w:tcPr>
            <w:tcW w:w="1170" w:type="dxa"/>
            <w:tcBorders>
              <w:top w:val="nil"/>
              <w:left w:val="nil"/>
              <w:bottom w:val="nil"/>
              <w:right w:val="nil"/>
            </w:tcBorders>
            <w:shd w:val="clear" w:color="auto" w:fill="auto"/>
            <w:noWrap/>
            <w:tcMar>
              <w:top w:w="15" w:type="dxa"/>
              <w:left w:w="15" w:type="dxa"/>
              <w:bottom w:w="0" w:type="dxa"/>
              <w:right w:w="15" w:type="dxa"/>
            </w:tcMar>
            <w:vAlign w:val="bottom"/>
          </w:tcPr>
          <w:p w:rsidR="008D370C" w:rsidRDefault="009D500D">
            <w:pPr>
              <w:jc w:val="right"/>
            </w:pPr>
            <w:r>
              <w:t>16,100</w:t>
            </w:r>
          </w:p>
        </w:tc>
        <w:tc>
          <w:tcPr>
            <w:tcW w:w="456" w:type="dxa"/>
            <w:tcBorders>
              <w:top w:val="nil"/>
              <w:left w:val="nil"/>
              <w:bottom w:val="nil"/>
              <w:right w:val="nil"/>
            </w:tcBorders>
            <w:shd w:val="clear" w:color="auto" w:fill="auto"/>
            <w:noWrap/>
            <w:tcMar>
              <w:top w:w="15" w:type="dxa"/>
              <w:left w:w="15" w:type="dxa"/>
              <w:bottom w:w="0" w:type="dxa"/>
              <w:right w:w="15" w:type="dxa"/>
            </w:tcMar>
            <w:vAlign w:val="bottom"/>
          </w:tcPr>
          <w:p w:rsidR="008D370C" w:rsidRPr="00AA69ED" w:rsidRDefault="008D370C" w:rsidP="00316FB9"/>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rsidR="008D370C" w:rsidRPr="00AA69ED" w:rsidRDefault="008D370C" w:rsidP="00316FB9">
            <w:r w:rsidRPr="00AA69ED">
              <w:t xml:space="preserve">Highways and Streets . . </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rsidR="008D370C" w:rsidRDefault="008D370C">
            <w:pPr>
              <w:jc w:val="right"/>
            </w:pPr>
            <w:r>
              <w:t>1,441,400</w:t>
            </w:r>
          </w:p>
        </w:tc>
      </w:tr>
      <w:tr w:rsidR="008D370C" w:rsidRPr="00AA69ED" w:rsidTr="0001308E">
        <w:trPr>
          <w:trHeight w:val="255"/>
        </w:trPr>
        <w:tc>
          <w:tcPr>
            <w:tcW w:w="2880" w:type="dxa"/>
            <w:tcBorders>
              <w:top w:val="nil"/>
              <w:left w:val="nil"/>
              <w:bottom w:val="nil"/>
              <w:right w:val="nil"/>
            </w:tcBorders>
            <w:shd w:val="clear" w:color="auto" w:fill="auto"/>
            <w:noWrap/>
            <w:tcMar>
              <w:top w:w="15" w:type="dxa"/>
              <w:left w:w="15" w:type="dxa"/>
              <w:bottom w:w="0" w:type="dxa"/>
              <w:right w:w="15" w:type="dxa"/>
            </w:tcMar>
            <w:vAlign w:val="bottom"/>
          </w:tcPr>
          <w:p w:rsidR="008D370C" w:rsidRPr="00AA69ED" w:rsidRDefault="008D370C" w:rsidP="000B4C11">
            <w:r w:rsidRPr="00AA69ED">
              <w:t xml:space="preserve">Licenses and Permits </w:t>
            </w:r>
            <w:r w:rsidR="000B4C11">
              <w:t>. . . . . .</w:t>
            </w:r>
          </w:p>
        </w:tc>
        <w:tc>
          <w:tcPr>
            <w:tcW w:w="1170" w:type="dxa"/>
            <w:tcBorders>
              <w:top w:val="nil"/>
              <w:left w:val="nil"/>
              <w:bottom w:val="nil"/>
              <w:right w:val="nil"/>
            </w:tcBorders>
            <w:shd w:val="clear" w:color="auto" w:fill="auto"/>
            <w:noWrap/>
            <w:tcMar>
              <w:top w:w="15" w:type="dxa"/>
              <w:left w:w="15" w:type="dxa"/>
              <w:bottom w:w="0" w:type="dxa"/>
              <w:right w:w="15" w:type="dxa"/>
            </w:tcMar>
            <w:vAlign w:val="bottom"/>
          </w:tcPr>
          <w:p w:rsidR="008D370C" w:rsidRDefault="009D500D">
            <w:pPr>
              <w:jc w:val="right"/>
            </w:pPr>
            <w:r>
              <w:t>800</w:t>
            </w:r>
            <w:r w:rsidR="008D370C">
              <w:t>,000</w:t>
            </w:r>
          </w:p>
        </w:tc>
        <w:tc>
          <w:tcPr>
            <w:tcW w:w="456" w:type="dxa"/>
            <w:tcBorders>
              <w:top w:val="nil"/>
              <w:left w:val="nil"/>
              <w:bottom w:val="nil"/>
              <w:right w:val="nil"/>
            </w:tcBorders>
            <w:shd w:val="clear" w:color="auto" w:fill="auto"/>
            <w:noWrap/>
            <w:tcMar>
              <w:top w:w="15" w:type="dxa"/>
              <w:left w:w="15" w:type="dxa"/>
              <w:bottom w:w="0" w:type="dxa"/>
              <w:right w:w="15" w:type="dxa"/>
            </w:tcMar>
            <w:vAlign w:val="bottom"/>
          </w:tcPr>
          <w:p w:rsidR="008D370C" w:rsidRPr="00AA69ED" w:rsidRDefault="008D370C" w:rsidP="00316FB9"/>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rsidR="008D370C" w:rsidRPr="00AA69ED" w:rsidRDefault="008D370C" w:rsidP="00316FB9">
            <w:r w:rsidRPr="00AA69ED">
              <w:t xml:space="preserve">Sanitation . . . . . . . . . . . . </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rsidR="008D370C" w:rsidRDefault="008D370C">
            <w:pPr>
              <w:jc w:val="right"/>
            </w:pPr>
            <w:r>
              <w:t>591,400</w:t>
            </w:r>
          </w:p>
        </w:tc>
      </w:tr>
      <w:tr w:rsidR="008D370C" w:rsidRPr="00AA69ED" w:rsidTr="0001308E">
        <w:trPr>
          <w:trHeight w:val="318"/>
        </w:trPr>
        <w:tc>
          <w:tcPr>
            <w:tcW w:w="2880" w:type="dxa"/>
            <w:tcBorders>
              <w:top w:val="nil"/>
              <w:left w:val="nil"/>
              <w:bottom w:val="nil"/>
              <w:right w:val="nil"/>
            </w:tcBorders>
            <w:shd w:val="clear" w:color="auto" w:fill="auto"/>
            <w:tcMar>
              <w:top w:w="15" w:type="dxa"/>
              <w:left w:w="15" w:type="dxa"/>
              <w:bottom w:w="0" w:type="dxa"/>
              <w:right w:w="15" w:type="dxa"/>
            </w:tcMar>
            <w:vAlign w:val="bottom"/>
          </w:tcPr>
          <w:p w:rsidR="008D370C" w:rsidRPr="00AA69ED" w:rsidRDefault="000B4C11" w:rsidP="000B4C11">
            <w:r>
              <w:t>Intergovernmental Revenue.</w:t>
            </w:r>
          </w:p>
        </w:tc>
        <w:tc>
          <w:tcPr>
            <w:tcW w:w="1170" w:type="dxa"/>
            <w:tcBorders>
              <w:top w:val="nil"/>
              <w:left w:val="nil"/>
              <w:bottom w:val="nil"/>
              <w:right w:val="nil"/>
            </w:tcBorders>
            <w:shd w:val="clear" w:color="auto" w:fill="auto"/>
            <w:noWrap/>
            <w:tcMar>
              <w:top w:w="15" w:type="dxa"/>
              <w:left w:w="15" w:type="dxa"/>
              <w:bottom w:w="0" w:type="dxa"/>
              <w:right w:w="15" w:type="dxa"/>
            </w:tcMar>
            <w:vAlign w:val="bottom"/>
          </w:tcPr>
          <w:p w:rsidR="008D370C" w:rsidRDefault="009D500D">
            <w:pPr>
              <w:jc w:val="right"/>
            </w:pPr>
            <w:r>
              <w:t>33</w:t>
            </w:r>
            <w:r w:rsidR="008D370C">
              <w:t>2,000</w:t>
            </w:r>
          </w:p>
        </w:tc>
        <w:tc>
          <w:tcPr>
            <w:tcW w:w="456" w:type="dxa"/>
            <w:tcBorders>
              <w:top w:val="nil"/>
              <w:left w:val="nil"/>
              <w:bottom w:val="nil"/>
              <w:right w:val="nil"/>
            </w:tcBorders>
            <w:shd w:val="clear" w:color="auto" w:fill="auto"/>
            <w:noWrap/>
            <w:tcMar>
              <w:top w:w="15" w:type="dxa"/>
              <w:left w:w="15" w:type="dxa"/>
              <w:bottom w:w="0" w:type="dxa"/>
              <w:right w:w="15" w:type="dxa"/>
            </w:tcMar>
            <w:vAlign w:val="bottom"/>
          </w:tcPr>
          <w:p w:rsidR="008D370C" w:rsidRPr="00AA69ED" w:rsidRDefault="008D370C" w:rsidP="00316FB9"/>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rsidR="008D370C" w:rsidRPr="00AA69ED" w:rsidRDefault="008D370C" w:rsidP="00316FB9">
            <w:r w:rsidRPr="00AA69ED">
              <w:t xml:space="preserve">Health . . . . . . . . . . . . . . </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rsidR="008D370C" w:rsidRDefault="009D500D">
            <w:pPr>
              <w:jc w:val="right"/>
            </w:pPr>
            <w:r>
              <w:t>724,1</w:t>
            </w:r>
            <w:r w:rsidR="008D370C">
              <w:t>00</w:t>
            </w:r>
          </w:p>
        </w:tc>
      </w:tr>
      <w:tr w:rsidR="00CE5171" w:rsidRPr="00AA69ED" w:rsidTr="000B4C11">
        <w:trPr>
          <w:trHeight w:val="255"/>
        </w:trPr>
        <w:tc>
          <w:tcPr>
            <w:tcW w:w="2880" w:type="dxa"/>
            <w:tcBorders>
              <w:top w:val="nil"/>
              <w:left w:val="nil"/>
              <w:bottom w:val="nil"/>
              <w:right w:val="nil"/>
            </w:tcBorders>
            <w:shd w:val="clear" w:color="auto" w:fill="auto"/>
            <w:noWrap/>
            <w:tcMar>
              <w:top w:w="15" w:type="dxa"/>
              <w:left w:w="15" w:type="dxa"/>
              <w:bottom w:w="0" w:type="dxa"/>
              <w:right w:w="15" w:type="dxa"/>
            </w:tcMar>
            <w:vAlign w:val="bottom"/>
          </w:tcPr>
          <w:p w:rsidR="008D370C" w:rsidRPr="00AA69ED" w:rsidRDefault="008D370C" w:rsidP="00316FB9">
            <w:r w:rsidRPr="00AA69ED">
              <w:t xml:space="preserve">Miscellaneous Revenue </w:t>
            </w:r>
            <w:r w:rsidR="000B4C11">
              <w:t xml:space="preserve"> . . . .</w:t>
            </w:r>
          </w:p>
        </w:tc>
        <w:tc>
          <w:tcPr>
            <w:tcW w:w="1170" w:type="dxa"/>
            <w:tcBorders>
              <w:top w:val="nil"/>
              <w:left w:val="nil"/>
              <w:bottom w:val="single" w:sz="4" w:space="0" w:color="auto"/>
              <w:right w:val="nil"/>
            </w:tcBorders>
            <w:shd w:val="clear" w:color="auto" w:fill="auto"/>
            <w:noWrap/>
            <w:tcMar>
              <w:top w:w="15" w:type="dxa"/>
              <w:left w:w="15" w:type="dxa"/>
              <w:bottom w:w="0" w:type="dxa"/>
              <w:right w:w="15" w:type="dxa"/>
            </w:tcMar>
            <w:vAlign w:val="bottom"/>
          </w:tcPr>
          <w:p w:rsidR="008D370C" w:rsidRDefault="009D500D">
            <w:pPr>
              <w:jc w:val="right"/>
            </w:pPr>
            <w:r>
              <w:t>35</w:t>
            </w:r>
            <w:r w:rsidR="008D370C">
              <w:t>0,000</w:t>
            </w:r>
          </w:p>
        </w:tc>
        <w:tc>
          <w:tcPr>
            <w:tcW w:w="456" w:type="dxa"/>
            <w:tcBorders>
              <w:top w:val="nil"/>
              <w:left w:val="nil"/>
              <w:bottom w:val="nil"/>
              <w:right w:val="nil"/>
            </w:tcBorders>
            <w:shd w:val="clear" w:color="auto" w:fill="auto"/>
            <w:noWrap/>
            <w:tcMar>
              <w:top w:w="15" w:type="dxa"/>
              <w:left w:w="15" w:type="dxa"/>
              <w:bottom w:w="0" w:type="dxa"/>
              <w:right w:w="15" w:type="dxa"/>
            </w:tcMar>
            <w:vAlign w:val="bottom"/>
          </w:tcPr>
          <w:p w:rsidR="008D370C" w:rsidRPr="00AA69ED" w:rsidRDefault="008D370C" w:rsidP="00316FB9"/>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rsidR="008D370C" w:rsidRPr="00AA69ED" w:rsidRDefault="008D370C" w:rsidP="00316FB9">
            <w:r w:rsidRPr="00AA69ED">
              <w:t xml:space="preserve">Welfare . . . . . . . . . . . . . </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rsidR="008D370C" w:rsidRDefault="009D500D">
            <w:pPr>
              <w:jc w:val="right"/>
            </w:pPr>
            <w:r>
              <w:t>374,3</w:t>
            </w:r>
            <w:r w:rsidR="008D370C">
              <w:t>00</w:t>
            </w:r>
          </w:p>
        </w:tc>
      </w:tr>
      <w:tr w:rsidR="00CE5171" w:rsidRPr="00AA69ED" w:rsidTr="000B4C11">
        <w:trPr>
          <w:trHeight w:val="270"/>
        </w:trPr>
        <w:tc>
          <w:tcPr>
            <w:tcW w:w="2880" w:type="dxa"/>
            <w:tcBorders>
              <w:top w:val="nil"/>
              <w:left w:val="nil"/>
              <w:bottom w:val="nil"/>
              <w:right w:val="nil"/>
            </w:tcBorders>
            <w:shd w:val="clear" w:color="auto" w:fill="auto"/>
            <w:noWrap/>
            <w:tcMar>
              <w:top w:w="15" w:type="dxa"/>
              <w:left w:w="15" w:type="dxa"/>
              <w:bottom w:w="0" w:type="dxa"/>
              <w:right w:w="15" w:type="dxa"/>
            </w:tcMar>
            <w:vAlign w:val="bottom"/>
          </w:tcPr>
          <w:p w:rsidR="008D370C" w:rsidRPr="00AA69ED" w:rsidRDefault="008D370C" w:rsidP="00316FB9">
            <w:r w:rsidRPr="00AA69ED">
              <w:t xml:space="preserve">Total . . . . . . . . . . . . </w:t>
            </w:r>
          </w:p>
        </w:tc>
        <w:tc>
          <w:tcPr>
            <w:tcW w:w="1170" w:type="dxa"/>
            <w:tcBorders>
              <w:top w:val="nil"/>
              <w:left w:val="nil"/>
              <w:bottom w:val="double" w:sz="6" w:space="0" w:color="auto"/>
              <w:right w:val="nil"/>
            </w:tcBorders>
            <w:shd w:val="clear" w:color="auto" w:fill="auto"/>
            <w:noWrap/>
            <w:tcMar>
              <w:top w:w="15" w:type="dxa"/>
              <w:left w:w="15" w:type="dxa"/>
              <w:bottom w:w="0" w:type="dxa"/>
              <w:right w:w="15" w:type="dxa"/>
            </w:tcMar>
            <w:vAlign w:val="bottom"/>
          </w:tcPr>
          <w:p w:rsidR="008D370C" w:rsidRDefault="008D370C" w:rsidP="001E315D">
            <w:pPr>
              <w:jc w:val="right"/>
            </w:pPr>
            <w:r>
              <w:t>$1</w:t>
            </w:r>
            <w:r w:rsidR="001E315D">
              <w:t>1,282,10</w:t>
            </w:r>
            <w:r w:rsidR="009D500D">
              <w:t>0</w:t>
            </w:r>
            <w:r>
              <w:t xml:space="preserve"> </w:t>
            </w:r>
          </w:p>
        </w:tc>
        <w:tc>
          <w:tcPr>
            <w:tcW w:w="456" w:type="dxa"/>
            <w:tcBorders>
              <w:top w:val="nil"/>
              <w:left w:val="nil"/>
              <w:bottom w:val="nil"/>
              <w:right w:val="nil"/>
            </w:tcBorders>
            <w:shd w:val="clear" w:color="auto" w:fill="auto"/>
            <w:noWrap/>
            <w:tcMar>
              <w:top w:w="15" w:type="dxa"/>
              <w:left w:w="15" w:type="dxa"/>
              <w:bottom w:w="0" w:type="dxa"/>
              <w:right w:w="15" w:type="dxa"/>
            </w:tcMar>
            <w:vAlign w:val="bottom"/>
          </w:tcPr>
          <w:p w:rsidR="008D370C" w:rsidRPr="00AA69ED" w:rsidRDefault="008D370C" w:rsidP="00316FB9"/>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rsidR="008D370C" w:rsidRPr="00AA69ED" w:rsidRDefault="008D370C" w:rsidP="00316FB9">
            <w:r w:rsidRPr="00AA69ED">
              <w:t xml:space="preserve">Culture and Recreation . </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rsidR="008D370C" w:rsidRDefault="009D500D">
            <w:pPr>
              <w:jc w:val="right"/>
            </w:pPr>
            <w:r>
              <w:t>917,3</w:t>
            </w:r>
            <w:r w:rsidR="008D370C">
              <w:t>00</w:t>
            </w:r>
          </w:p>
        </w:tc>
      </w:tr>
      <w:tr w:rsidR="00CE5171" w:rsidRPr="00AA69ED" w:rsidTr="000B4C11">
        <w:trPr>
          <w:trHeight w:val="270"/>
        </w:trPr>
        <w:tc>
          <w:tcPr>
            <w:tcW w:w="2880" w:type="dxa"/>
            <w:tcBorders>
              <w:top w:val="nil"/>
              <w:left w:val="nil"/>
              <w:bottom w:val="nil"/>
              <w:right w:val="nil"/>
            </w:tcBorders>
            <w:shd w:val="clear" w:color="auto" w:fill="auto"/>
            <w:noWrap/>
            <w:tcMar>
              <w:top w:w="15" w:type="dxa"/>
              <w:left w:w="15" w:type="dxa"/>
              <w:bottom w:w="0" w:type="dxa"/>
              <w:right w:w="15" w:type="dxa"/>
            </w:tcMar>
            <w:vAlign w:val="bottom"/>
          </w:tcPr>
          <w:p w:rsidR="008D370C" w:rsidRPr="00AA69ED" w:rsidRDefault="008D370C" w:rsidP="00316FB9"/>
        </w:tc>
        <w:tc>
          <w:tcPr>
            <w:tcW w:w="1170" w:type="dxa"/>
            <w:tcBorders>
              <w:top w:val="nil"/>
              <w:left w:val="nil"/>
              <w:bottom w:val="nil"/>
              <w:right w:val="nil"/>
            </w:tcBorders>
            <w:shd w:val="clear" w:color="auto" w:fill="auto"/>
            <w:noWrap/>
            <w:tcMar>
              <w:top w:w="15" w:type="dxa"/>
              <w:left w:w="15" w:type="dxa"/>
              <w:bottom w:w="0" w:type="dxa"/>
              <w:right w:w="15" w:type="dxa"/>
            </w:tcMar>
            <w:vAlign w:val="bottom"/>
          </w:tcPr>
          <w:p w:rsidR="008D370C" w:rsidRPr="00AA69ED" w:rsidRDefault="008D370C" w:rsidP="00316FB9"/>
        </w:tc>
        <w:tc>
          <w:tcPr>
            <w:tcW w:w="456" w:type="dxa"/>
            <w:tcBorders>
              <w:top w:val="nil"/>
              <w:left w:val="nil"/>
              <w:bottom w:val="nil"/>
              <w:right w:val="nil"/>
            </w:tcBorders>
            <w:shd w:val="clear" w:color="auto" w:fill="auto"/>
            <w:noWrap/>
            <w:tcMar>
              <w:top w:w="15" w:type="dxa"/>
              <w:left w:w="15" w:type="dxa"/>
              <w:bottom w:w="0" w:type="dxa"/>
              <w:right w:w="15" w:type="dxa"/>
            </w:tcMar>
            <w:vAlign w:val="bottom"/>
          </w:tcPr>
          <w:p w:rsidR="008D370C" w:rsidRPr="00AA69ED" w:rsidRDefault="008D370C" w:rsidP="00316FB9"/>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rsidR="008D370C" w:rsidRPr="00AA69ED" w:rsidRDefault="008D370C" w:rsidP="00316FB9">
            <w:r w:rsidRPr="00AA69ED">
              <w:t xml:space="preserve">Capital Outlay . . . . . . . . </w:t>
            </w:r>
          </w:p>
        </w:tc>
        <w:tc>
          <w:tcPr>
            <w:tcW w:w="0" w:type="auto"/>
            <w:tcBorders>
              <w:top w:val="nil"/>
              <w:left w:val="nil"/>
              <w:bottom w:val="single" w:sz="4" w:space="0" w:color="auto"/>
              <w:right w:val="nil"/>
            </w:tcBorders>
            <w:shd w:val="clear" w:color="auto" w:fill="auto"/>
            <w:noWrap/>
            <w:tcMar>
              <w:top w:w="15" w:type="dxa"/>
              <w:left w:w="15" w:type="dxa"/>
              <w:bottom w:w="0" w:type="dxa"/>
              <w:right w:w="15" w:type="dxa"/>
            </w:tcMar>
            <w:vAlign w:val="bottom"/>
          </w:tcPr>
          <w:p w:rsidR="008D370C" w:rsidRDefault="008D370C">
            <w:pPr>
              <w:jc w:val="right"/>
            </w:pPr>
            <w:r>
              <w:t>4</w:t>
            </w:r>
            <w:r w:rsidR="009D500D">
              <w:t>92,8</w:t>
            </w:r>
            <w:r w:rsidR="00F8328C">
              <w:t>00</w:t>
            </w:r>
          </w:p>
        </w:tc>
      </w:tr>
      <w:tr w:rsidR="00CE5171" w:rsidRPr="00AA69ED" w:rsidTr="000B4C11">
        <w:trPr>
          <w:trHeight w:val="270"/>
        </w:trPr>
        <w:tc>
          <w:tcPr>
            <w:tcW w:w="2880" w:type="dxa"/>
            <w:tcBorders>
              <w:top w:val="nil"/>
              <w:left w:val="nil"/>
              <w:bottom w:val="nil"/>
              <w:right w:val="nil"/>
            </w:tcBorders>
            <w:shd w:val="clear" w:color="auto" w:fill="auto"/>
            <w:noWrap/>
            <w:tcMar>
              <w:top w:w="15" w:type="dxa"/>
              <w:left w:w="15" w:type="dxa"/>
              <w:bottom w:w="0" w:type="dxa"/>
              <w:right w:w="15" w:type="dxa"/>
            </w:tcMar>
            <w:vAlign w:val="bottom"/>
          </w:tcPr>
          <w:p w:rsidR="008D370C" w:rsidRPr="00AA69ED" w:rsidRDefault="008D370C" w:rsidP="00316FB9"/>
        </w:tc>
        <w:tc>
          <w:tcPr>
            <w:tcW w:w="1170" w:type="dxa"/>
            <w:tcBorders>
              <w:top w:val="nil"/>
              <w:left w:val="nil"/>
              <w:bottom w:val="nil"/>
              <w:right w:val="nil"/>
            </w:tcBorders>
            <w:shd w:val="clear" w:color="auto" w:fill="auto"/>
            <w:noWrap/>
            <w:tcMar>
              <w:top w:w="15" w:type="dxa"/>
              <w:left w:w="15" w:type="dxa"/>
              <w:bottom w:w="0" w:type="dxa"/>
              <w:right w:w="15" w:type="dxa"/>
            </w:tcMar>
            <w:vAlign w:val="bottom"/>
          </w:tcPr>
          <w:p w:rsidR="008D370C" w:rsidRPr="00AA69ED" w:rsidRDefault="008D370C" w:rsidP="00316FB9"/>
        </w:tc>
        <w:tc>
          <w:tcPr>
            <w:tcW w:w="456" w:type="dxa"/>
            <w:tcBorders>
              <w:top w:val="nil"/>
              <w:left w:val="nil"/>
              <w:bottom w:val="nil"/>
              <w:right w:val="nil"/>
            </w:tcBorders>
            <w:shd w:val="clear" w:color="auto" w:fill="auto"/>
            <w:noWrap/>
            <w:tcMar>
              <w:top w:w="15" w:type="dxa"/>
              <w:left w:w="15" w:type="dxa"/>
              <w:bottom w:w="0" w:type="dxa"/>
              <w:right w:w="15" w:type="dxa"/>
            </w:tcMar>
            <w:vAlign w:val="bottom"/>
          </w:tcPr>
          <w:p w:rsidR="008D370C" w:rsidRPr="00AA69ED" w:rsidRDefault="008D370C" w:rsidP="00316FB9"/>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rsidR="008D370C" w:rsidRPr="00AA69ED" w:rsidRDefault="008D370C" w:rsidP="00316FB9">
            <w:r w:rsidRPr="00AA69ED">
              <w:t xml:space="preserve">Total . . . . . . . . . . . . . </w:t>
            </w:r>
          </w:p>
        </w:tc>
        <w:tc>
          <w:tcPr>
            <w:tcW w:w="0" w:type="auto"/>
            <w:tcBorders>
              <w:top w:val="nil"/>
              <w:left w:val="nil"/>
              <w:bottom w:val="double" w:sz="6" w:space="0" w:color="auto"/>
              <w:right w:val="nil"/>
            </w:tcBorders>
            <w:shd w:val="clear" w:color="auto" w:fill="auto"/>
            <w:noWrap/>
            <w:tcMar>
              <w:top w:w="15" w:type="dxa"/>
              <w:left w:w="15" w:type="dxa"/>
              <w:bottom w:w="0" w:type="dxa"/>
              <w:right w:w="15" w:type="dxa"/>
            </w:tcMar>
            <w:vAlign w:val="bottom"/>
          </w:tcPr>
          <w:p w:rsidR="008D370C" w:rsidRDefault="001E315D">
            <w:pPr>
              <w:jc w:val="right"/>
            </w:pPr>
            <w:r>
              <w:t>$</w:t>
            </w:r>
            <w:r w:rsidR="003C01AD">
              <w:t>9,291,115</w:t>
            </w:r>
            <w:r w:rsidR="008D370C">
              <w:t xml:space="preserve"> </w:t>
            </w:r>
          </w:p>
        </w:tc>
      </w:tr>
    </w:tbl>
    <w:p w:rsidR="00C42490" w:rsidRPr="00AA69ED" w:rsidRDefault="00C42490" w:rsidP="00C42490">
      <w:pPr>
        <w:autoSpaceDE w:val="0"/>
        <w:autoSpaceDN w:val="0"/>
        <w:adjustRightInd w:val="0"/>
        <w:ind w:left="288" w:hanging="288"/>
      </w:pPr>
    </w:p>
    <w:p w:rsidR="00A90E90" w:rsidRDefault="002F4483" w:rsidP="00CE7A45">
      <w:pPr>
        <w:ind w:left="288" w:hanging="288"/>
      </w:pPr>
      <w:r w:rsidRPr="00AA69ED">
        <w:rPr>
          <w:i/>
          <w:iCs/>
        </w:rPr>
        <w:t xml:space="preserve">e. </w:t>
      </w:r>
      <w:r w:rsidR="00421055" w:rsidRPr="00AA69ED">
        <w:t xml:space="preserve">Prepare in good form a Balance Sheet for the General Fund as of the end of fiscal year, December 31, </w:t>
      </w:r>
      <w:r w:rsidR="003537C6">
        <w:t>2020</w:t>
      </w:r>
      <w:r w:rsidR="00421055" w:rsidRPr="00AA69ED">
        <w:t xml:space="preserve">. </w:t>
      </w:r>
    </w:p>
    <w:p w:rsidR="00C42490" w:rsidRDefault="00C42490" w:rsidP="002F4483"/>
    <w:p w:rsidR="00C42490" w:rsidRPr="00C42490" w:rsidRDefault="00C42490" w:rsidP="00C42490">
      <w:pPr>
        <w:autoSpaceDE w:val="0"/>
        <w:autoSpaceDN w:val="0"/>
        <w:adjustRightInd w:val="0"/>
        <w:ind w:left="720" w:hanging="720"/>
        <w:rPr>
          <w:b/>
          <w:i/>
        </w:rPr>
      </w:pPr>
      <w:r w:rsidRPr="00C42490">
        <w:rPr>
          <w:b/>
          <w:i/>
        </w:rPr>
        <w:t xml:space="preserve">4–C. </w:t>
      </w:r>
      <w:r>
        <w:rPr>
          <w:b/>
          <w:i/>
          <w:iCs/>
        </w:rPr>
        <w:t>Part 2</w:t>
      </w:r>
      <w:r w:rsidRPr="00C42490">
        <w:rPr>
          <w:b/>
          <w:i/>
          <w:iCs/>
        </w:rPr>
        <w:t xml:space="preserve">. </w:t>
      </w:r>
      <w:r>
        <w:rPr>
          <w:b/>
          <w:i/>
          <w:iCs/>
        </w:rPr>
        <w:t>Special Revenue</w:t>
      </w:r>
      <w:r w:rsidRPr="00C42490">
        <w:rPr>
          <w:b/>
          <w:i/>
        </w:rPr>
        <w:t xml:space="preserve"> Fund Transactions</w:t>
      </w:r>
    </w:p>
    <w:p w:rsidR="002F4483" w:rsidRPr="00AA69ED" w:rsidRDefault="002F4483" w:rsidP="002F4483">
      <w:pPr>
        <w:autoSpaceDE w:val="0"/>
        <w:autoSpaceDN w:val="0"/>
        <w:adjustRightInd w:val="0"/>
        <w:rPr>
          <w:i/>
          <w:iCs/>
        </w:rPr>
      </w:pPr>
      <w:r w:rsidRPr="00AA69ED">
        <w:rPr>
          <w:i/>
          <w:iCs/>
        </w:rPr>
        <w:t>Required:</w:t>
      </w:r>
    </w:p>
    <w:p w:rsidR="002F4483" w:rsidRDefault="002F4483" w:rsidP="00C42490">
      <w:pPr>
        <w:autoSpaceDE w:val="0"/>
        <w:autoSpaceDN w:val="0"/>
        <w:adjustRightInd w:val="0"/>
        <w:ind w:left="288" w:hanging="288"/>
      </w:pPr>
      <w:r w:rsidRPr="00AA69ED">
        <w:rPr>
          <w:i/>
          <w:iCs/>
        </w:rPr>
        <w:t xml:space="preserve">a. </w:t>
      </w:r>
      <w:r w:rsidR="00D32F83" w:rsidRPr="00AA69ED">
        <w:t xml:space="preserve">Record </w:t>
      </w:r>
      <w:r w:rsidR="00D32F83">
        <w:t>journal entries for</w:t>
      </w:r>
      <w:r w:rsidR="00D32F83" w:rsidRPr="00AA69ED">
        <w:t xml:space="preserve"> the following transactions for FY </w:t>
      </w:r>
      <w:r w:rsidR="003537C6">
        <w:t>2020</w:t>
      </w:r>
      <w:r w:rsidR="00C777A8">
        <w:t xml:space="preserve"> and post to the general ledger</w:t>
      </w:r>
      <w:r w:rsidR="00D32F83" w:rsidRPr="00AA69ED">
        <w:t xml:space="preserve">. </w:t>
      </w:r>
      <w:r w:rsidR="00CE7A45">
        <w:t>As there are relatively few revenues and expenditures, the use of control accounts is not necessary.</w:t>
      </w:r>
      <w:r w:rsidR="00D32F83">
        <w:t xml:space="preserve"> </w:t>
      </w:r>
      <w:r w:rsidR="00CE7A45">
        <w:t xml:space="preserve"> (Make entries directly to individual revenue and expenditure accounts).</w:t>
      </w:r>
    </w:p>
    <w:p w:rsidR="00C42490" w:rsidRPr="00AA69ED" w:rsidRDefault="00C42490" w:rsidP="002F4483">
      <w:pPr>
        <w:autoSpaceDE w:val="0"/>
        <w:autoSpaceDN w:val="0"/>
        <w:adjustRightInd w:val="0"/>
      </w:pPr>
    </w:p>
    <w:p w:rsidR="002F4483" w:rsidRPr="00AA69ED" w:rsidRDefault="002F4483" w:rsidP="00C42490">
      <w:pPr>
        <w:autoSpaceDE w:val="0"/>
        <w:autoSpaceDN w:val="0"/>
        <w:adjustRightInd w:val="0"/>
        <w:ind w:left="1296" w:hanging="432"/>
      </w:pPr>
      <w:r w:rsidRPr="00AA69ED">
        <w:t>(1) The state gover</w:t>
      </w:r>
      <w:r w:rsidR="00D84554">
        <w:t>nme</w:t>
      </w:r>
      <w:r w:rsidR="00B903FB">
        <w:t>nt notified the City that $1,0</w:t>
      </w:r>
      <w:r w:rsidR="001E315D">
        <w:t>67,5</w:t>
      </w:r>
      <w:r w:rsidRPr="00AA69ED">
        <w:t>00 will be available</w:t>
      </w:r>
      <w:r w:rsidR="00A90E90" w:rsidRPr="00AA69ED">
        <w:t xml:space="preserve"> </w:t>
      </w:r>
      <w:r w:rsidR="00CE7A45">
        <w:t xml:space="preserve">for street and highway maintenance </w:t>
      </w:r>
      <w:r w:rsidRPr="00AA69ED">
        <w:t xml:space="preserve">during </w:t>
      </w:r>
      <w:r w:rsidR="003537C6">
        <w:t>2020</w:t>
      </w:r>
      <w:r w:rsidR="00D32F83">
        <w:t xml:space="preserve"> (i.e. the City has met eligibility requirements)</w:t>
      </w:r>
      <w:r w:rsidRPr="00AA69ED">
        <w:t xml:space="preserve">. The funds are </w:t>
      </w:r>
      <w:r w:rsidRPr="00D32F83">
        <w:rPr>
          <w:b/>
        </w:rPr>
        <w:t>not</w:t>
      </w:r>
      <w:r w:rsidRPr="00AA69ED">
        <w:t xml:space="preserve"> considered reimbursement-type as defined</w:t>
      </w:r>
      <w:r w:rsidR="00A90E90" w:rsidRPr="00AA69ED">
        <w:t xml:space="preserve"> </w:t>
      </w:r>
      <w:r w:rsidRPr="00AA69ED">
        <w:t>by GASB standards.</w:t>
      </w:r>
    </w:p>
    <w:p w:rsidR="002F4483" w:rsidRPr="00AA69ED" w:rsidRDefault="002F4483" w:rsidP="00C42490">
      <w:pPr>
        <w:autoSpaceDE w:val="0"/>
        <w:autoSpaceDN w:val="0"/>
        <w:adjustRightInd w:val="0"/>
        <w:ind w:left="1296" w:hanging="432"/>
      </w:pPr>
      <w:r w:rsidRPr="00AA69ED">
        <w:t>(2)</w:t>
      </w:r>
      <w:r w:rsidR="00B903FB">
        <w:t xml:space="preserve"> </w:t>
      </w:r>
      <w:r w:rsidR="00A318B4">
        <w:t>Cash in the total amount of $997</w:t>
      </w:r>
      <w:r w:rsidRPr="00AA69ED">
        <w:t>,000 was received from the state government.</w:t>
      </w:r>
    </w:p>
    <w:p w:rsidR="002F4483" w:rsidRPr="00AA69ED" w:rsidRDefault="002F4483" w:rsidP="00C42490">
      <w:pPr>
        <w:autoSpaceDE w:val="0"/>
        <w:autoSpaceDN w:val="0"/>
        <w:adjustRightInd w:val="0"/>
        <w:ind w:left="1296" w:hanging="432"/>
      </w:pPr>
      <w:r w:rsidRPr="00AA69ED">
        <w:t>(3) Contracts, all eligible for payment from the Street and Highway Fund,</w:t>
      </w:r>
      <w:r w:rsidR="00A90E90" w:rsidRPr="00AA69ED">
        <w:t xml:space="preserve"> </w:t>
      </w:r>
      <w:r w:rsidR="00D84554">
        <w:t xml:space="preserve">were signed </w:t>
      </w:r>
      <w:r w:rsidR="00B903FB">
        <w:t>in the amount of $1,062</w:t>
      </w:r>
      <w:r w:rsidRPr="00AA69ED">
        <w:t>,000.</w:t>
      </w:r>
    </w:p>
    <w:p w:rsidR="00CE7A45" w:rsidRDefault="002F4483" w:rsidP="00C42490">
      <w:pPr>
        <w:autoSpaceDE w:val="0"/>
        <w:autoSpaceDN w:val="0"/>
        <w:adjustRightInd w:val="0"/>
        <w:ind w:left="1296" w:hanging="432"/>
      </w:pPr>
      <w:r w:rsidRPr="00AA69ED">
        <w:t>(4) Contractual services (see transaction 3) were received; the related</w:t>
      </w:r>
      <w:r w:rsidR="00A90E90" w:rsidRPr="00AA69ED">
        <w:t xml:space="preserve"> </w:t>
      </w:r>
      <w:r w:rsidRPr="00AA69ED">
        <w:t>contracts amounted to $</w:t>
      </w:r>
      <w:r w:rsidR="00D84554">
        <w:t>1,0</w:t>
      </w:r>
      <w:r w:rsidR="00A318B4">
        <w:t>42</w:t>
      </w:r>
      <w:r w:rsidR="00B903FB">
        <w:t>,000.</w:t>
      </w:r>
      <w:r w:rsidRPr="00AA69ED">
        <w:t xml:space="preserve"> Invoices amounting to $</w:t>
      </w:r>
      <w:r w:rsidR="00A318B4">
        <w:t>1,04</w:t>
      </w:r>
      <w:r w:rsidR="00B903FB">
        <w:t>0,5</w:t>
      </w:r>
      <w:r w:rsidRPr="00AA69ED">
        <w:t>00 for</w:t>
      </w:r>
      <w:r w:rsidR="00A90E90" w:rsidRPr="00AA69ED">
        <w:t xml:space="preserve"> </w:t>
      </w:r>
      <w:r w:rsidRPr="00AA69ED">
        <w:t>these items were approved for payment. The goods and services all</w:t>
      </w:r>
      <w:r w:rsidR="00A90E90" w:rsidRPr="00AA69ED">
        <w:t xml:space="preserve"> </w:t>
      </w:r>
      <w:r w:rsidR="00D84554">
        <w:t>were for</w:t>
      </w:r>
      <w:r w:rsidR="00CE7A45">
        <w:t xml:space="preserve"> street and highway maintenance.</w:t>
      </w:r>
    </w:p>
    <w:p w:rsidR="002F4483" w:rsidRPr="00AA69ED" w:rsidRDefault="002F4483" w:rsidP="00C42490">
      <w:pPr>
        <w:autoSpaceDE w:val="0"/>
        <w:autoSpaceDN w:val="0"/>
        <w:adjustRightInd w:val="0"/>
        <w:ind w:left="1296" w:hanging="432"/>
      </w:pPr>
      <w:r w:rsidRPr="00AA69ED">
        <w:t xml:space="preserve">(5) Investment revenue </w:t>
      </w:r>
      <w:r w:rsidR="00D84554">
        <w:t>of $</w:t>
      </w:r>
      <w:r w:rsidR="001E315D">
        <w:t>1,900</w:t>
      </w:r>
      <w:r w:rsidRPr="00AA69ED">
        <w:t xml:space="preserve"> was earned and received.</w:t>
      </w:r>
    </w:p>
    <w:p w:rsidR="002F4483" w:rsidRPr="00AA69ED" w:rsidRDefault="002F4483" w:rsidP="00C42490">
      <w:pPr>
        <w:autoSpaceDE w:val="0"/>
        <w:autoSpaceDN w:val="0"/>
        <w:adjustRightInd w:val="0"/>
        <w:ind w:left="1296" w:hanging="432"/>
      </w:pPr>
      <w:r w:rsidRPr="00AA69ED">
        <w:t xml:space="preserve">(6) </w:t>
      </w:r>
      <w:r w:rsidR="00B903FB">
        <w:t>Accounts payable</w:t>
      </w:r>
      <w:r w:rsidRPr="00AA69ED">
        <w:t xml:space="preserve"> were paid in the amount of $</w:t>
      </w:r>
      <w:r w:rsidR="000B4C11">
        <w:t>987</w:t>
      </w:r>
      <w:r w:rsidRPr="00AA69ED">
        <w:t>,000.</w:t>
      </w:r>
    </w:p>
    <w:p w:rsidR="002F4483" w:rsidRDefault="002F4483" w:rsidP="00C42490">
      <w:pPr>
        <w:autoSpaceDE w:val="0"/>
        <w:autoSpaceDN w:val="0"/>
        <w:adjustRightInd w:val="0"/>
        <w:ind w:left="1296" w:hanging="432"/>
      </w:pPr>
      <w:r w:rsidRPr="00AA69ED">
        <w:t>(7) All required legal steps were accomplished to increase appropriations</w:t>
      </w:r>
      <w:r w:rsidR="00A90E90" w:rsidRPr="00AA69ED">
        <w:t xml:space="preserve"> </w:t>
      </w:r>
      <w:r w:rsidRPr="00AA69ED">
        <w:t>in the amount of $</w:t>
      </w:r>
      <w:r w:rsidR="00B903FB">
        <w:t>4</w:t>
      </w:r>
      <w:r w:rsidRPr="00AA69ED">
        <w:t>,500.</w:t>
      </w:r>
    </w:p>
    <w:p w:rsidR="00C42490" w:rsidRPr="00AA69ED" w:rsidRDefault="00C42490" w:rsidP="00C42490">
      <w:pPr>
        <w:autoSpaceDE w:val="0"/>
        <w:autoSpaceDN w:val="0"/>
        <w:adjustRightInd w:val="0"/>
        <w:ind w:left="1296" w:hanging="432"/>
      </w:pPr>
    </w:p>
    <w:p w:rsidR="002F4483" w:rsidRDefault="00C777A8" w:rsidP="00C42490">
      <w:pPr>
        <w:autoSpaceDE w:val="0"/>
        <w:autoSpaceDN w:val="0"/>
        <w:adjustRightInd w:val="0"/>
        <w:ind w:left="288" w:hanging="288"/>
      </w:pPr>
      <w:r>
        <w:rPr>
          <w:i/>
          <w:iCs/>
        </w:rPr>
        <w:t>b.</w:t>
      </w:r>
      <w:r w:rsidR="002F4483" w:rsidRPr="00AA69ED">
        <w:rPr>
          <w:i/>
          <w:iCs/>
        </w:rPr>
        <w:t xml:space="preserve"> </w:t>
      </w:r>
      <w:r w:rsidR="002F4483" w:rsidRPr="00AA69ED">
        <w:t>Prepare and post the necessary closing entries for the Street and Highway</w:t>
      </w:r>
      <w:r w:rsidR="00A90E90" w:rsidRPr="00AA69ED">
        <w:t xml:space="preserve"> </w:t>
      </w:r>
      <w:r w:rsidR="002F4483" w:rsidRPr="00AA69ED">
        <w:t>Fund.</w:t>
      </w:r>
    </w:p>
    <w:p w:rsidR="00C42490" w:rsidRPr="00AA69ED" w:rsidRDefault="00C42490" w:rsidP="00C42490">
      <w:pPr>
        <w:autoSpaceDE w:val="0"/>
        <w:autoSpaceDN w:val="0"/>
        <w:adjustRightInd w:val="0"/>
        <w:ind w:left="288" w:hanging="288"/>
      </w:pPr>
    </w:p>
    <w:p w:rsidR="002F4483" w:rsidRDefault="00C777A8" w:rsidP="00C42490">
      <w:pPr>
        <w:autoSpaceDE w:val="0"/>
        <w:autoSpaceDN w:val="0"/>
        <w:adjustRightInd w:val="0"/>
        <w:ind w:left="288" w:hanging="288"/>
      </w:pPr>
      <w:r>
        <w:rPr>
          <w:i/>
          <w:iCs/>
        </w:rPr>
        <w:t>c</w:t>
      </w:r>
      <w:r w:rsidR="002F4483" w:rsidRPr="00AA69ED">
        <w:rPr>
          <w:i/>
          <w:iCs/>
        </w:rPr>
        <w:t xml:space="preserve">. </w:t>
      </w:r>
      <w:r w:rsidR="00421055" w:rsidRPr="00AA69ED">
        <w:t xml:space="preserve">Prepare a Statement of Revenues, Expenditures, and Changes in Fund Balances for the Street and Highway Fund for the fiscal year ended December 31, </w:t>
      </w:r>
      <w:r w:rsidR="003537C6">
        <w:t>2020</w:t>
      </w:r>
      <w:r w:rsidR="00421055" w:rsidRPr="00AA69ED">
        <w:t>.</w:t>
      </w:r>
    </w:p>
    <w:p w:rsidR="00C42490" w:rsidRPr="00AA69ED" w:rsidRDefault="00C42490" w:rsidP="00C42490">
      <w:pPr>
        <w:autoSpaceDE w:val="0"/>
        <w:autoSpaceDN w:val="0"/>
        <w:adjustRightInd w:val="0"/>
        <w:ind w:left="288" w:hanging="288"/>
      </w:pPr>
    </w:p>
    <w:p w:rsidR="00841D2B" w:rsidRPr="00F24160" w:rsidRDefault="00C777A8" w:rsidP="00F24160">
      <w:pPr>
        <w:autoSpaceDE w:val="0"/>
        <w:autoSpaceDN w:val="0"/>
        <w:adjustRightInd w:val="0"/>
        <w:ind w:left="288" w:hanging="288"/>
      </w:pPr>
      <w:r>
        <w:rPr>
          <w:i/>
          <w:iCs/>
        </w:rPr>
        <w:t>d</w:t>
      </w:r>
      <w:r w:rsidR="002F4483" w:rsidRPr="00AA69ED">
        <w:rPr>
          <w:i/>
          <w:iCs/>
        </w:rPr>
        <w:t xml:space="preserve">. </w:t>
      </w:r>
      <w:r w:rsidR="00421055" w:rsidRPr="00AA69ED">
        <w:t xml:space="preserve">Prepare a Balance Sheet for the Street and Highway Fund as of December 31, </w:t>
      </w:r>
      <w:r w:rsidR="003537C6">
        <w:t>2020</w:t>
      </w:r>
      <w:r w:rsidR="00421055" w:rsidRPr="00AA69ED">
        <w:t>.</w:t>
      </w:r>
      <w:r w:rsidR="00622EC0">
        <w:t xml:space="preserve">  Assume any unexpended net resources are classified as Restricted Fund Balance.</w:t>
      </w:r>
    </w:p>
    <w:sectPr w:rsidR="00841D2B" w:rsidRPr="00F24160" w:rsidSect="004244CF">
      <w:headerReference w:type="default" r:id="rId8"/>
      <w:footerReference w:type="even" r:id="rId9"/>
      <w:footerReference w:type="default" r:id="rId10"/>
      <w:pgSz w:w="12240" w:h="15840"/>
      <w:pgMar w:top="1440" w:right="1440" w:bottom="1440"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5466F" w:rsidRDefault="0025466F" w:rsidP="00316FB9">
      <w:r>
        <w:separator/>
      </w:r>
    </w:p>
  </w:endnote>
  <w:endnote w:type="continuationSeparator" w:id="0">
    <w:p w:rsidR="0025466F" w:rsidRDefault="0025466F" w:rsidP="00316FB9">
      <w:r>
        <w:continuationSeparator/>
      </w:r>
    </w:p>
  </w:endnote>
  <w:endnote w:type="continuationNotice" w:id="1">
    <w:p w:rsidR="0025466F" w:rsidRDefault="0025466F"/>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308E" w:rsidRDefault="00D15121" w:rsidP="00316FB9">
    <w:pPr>
      <w:pStyle w:val="Footer"/>
      <w:framePr w:wrap="around" w:vAnchor="text" w:hAnchor="margin" w:xAlign="center" w:y="1"/>
      <w:rPr>
        <w:rStyle w:val="PageNumber"/>
      </w:rPr>
    </w:pPr>
    <w:r>
      <w:rPr>
        <w:rStyle w:val="PageNumber"/>
      </w:rPr>
      <w:fldChar w:fldCharType="begin"/>
    </w:r>
    <w:r w:rsidR="0001308E">
      <w:rPr>
        <w:rStyle w:val="PageNumber"/>
      </w:rPr>
      <w:instrText xml:space="preserve">PAGE  </w:instrText>
    </w:r>
    <w:r>
      <w:rPr>
        <w:rStyle w:val="PageNumber"/>
      </w:rPr>
      <w:fldChar w:fldCharType="end"/>
    </w:r>
  </w:p>
  <w:p w:rsidR="0001308E" w:rsidRDefault="0001308E">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308E" w:rsidRDefault="00587687" w:rsidP="00587687">
    <w:pPr>
      <w:pStyle w:val="Footer"/>
      <w:jc w:val="center"/>
      <w:rPr>
        <w:sz w:val="20"/>
        <w:szCs w:val="20"/>
      </w:rPr>
    </w:pPr>
    <w:r w:rsidRPr="00587687">
      <w:rPr>
        <w:sz w:val="20"/>
        <w:szCs w:val="20"/>
      </w:rPr>
      <w:t>Copyright ©2020 McGraw-Hill Education. All rights reserved. No reproduction or distribution without the prior written consent of McGraw-Hill Education.</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5466F" w:rsidRDefault="0025466F" w:rsidP="00316FB9">
      <w:r>
        <w:separator/>
      </w:r>
    </w:p>
  </w:footnote>
  <w:footnote w:type="continuationSeparator" w:id="0">
    <w:p w:rsidR="0025466F" w:rsidRDefault="0025466F" w:rsidP="00316FB9">
      <w:r>
        <w:continuationSeparator/>
      </w:r>
    </w:p>
  </w:footnote>
  <w:footnote w:type="continuationNotice" w:id="1">
    <w:p w:rsidR="0025466F" w:rsidRDefault="0025466F"/>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73862708"/>
      <w:docPartObj>
        <w:docPartGallery w:val="Page Numbers (Top of Page)"/>
        <w:docPartUnique/>
      </w:docPartObj>
    </w:sdtPr>
    <w:sdtEndPr>
      <w:rPr>
        <w:noProof/>
      </w:rPr>
    </w:sdtEndPr>
    <w:sdtContent>
      <w:p w:rsidR="00587687" w:rsidRDefault="00D15121">
        <w:pPr>
          <w:pStyle w:val="Header"/>
          <w:jc w:val="right"/>
        </w:pPr>
        <w:r>
          <w:fldChar w:fldCharType="begin"/>
        </w:r>
        <w:r w:rsidR="00587687">
          <w:instrText xml:space="preserve"> PAGE   \* MERGEFORMAT </w:instrText>
        </w:r>
        <w:r>
          <w:fldChar w:fldCharType="separate"/>
        </w:r>
        <w:r w:rsidR="00F24160">
          <w:rPr>
            <w:noProof/>
          </w:rPr>
          <w:t>5</w:t>
        </w:r>
        <w:r>
          <w:rPr>
            <w:noProof/>
          </w:rPr>
          <w:fldChar w:fldCharType="end"/>
        </w:r>
      </w:p>
    </w:sdtContent>
  </w:sdt>
  <w:p w:rsidR="0001308E" w:rsidRPr="00C9627F" w:rsidRDefault="0001308E">
    <w:pPr>
      <w:pStyle w:val="Header"/>
      <w:rPr>
        <w:i/>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1E1626"/>
    <w:multiLevelType w:val="hybridMultilevel"/>
    <w:tmpl w:val="791EFEBC"/>
    <w:lvl w:ilvl="0" w:tplc="0409000F">
      <w:start w:val="1"/>
      <w:numFmt w:val="decimal"/>
      <w:lvlText w:val="%1."/>
      <w:lvlJc w:val="left"/>
      <w:pPr>
        <w:tabs>
          <w:tab w:val="num" w:pos="720"/>
        </w:tabs>
        <w:ind w:left="720" w:hanging="360"/>
      </w:pPr>
      <w:rPr>
        <w:rFonts w:hint="default"/>
      </w:rPr>
    </w:lvl>
    <w:lvl w:ilvl="1" w:tplc="36D2914A">
      <w:start w:val="1"/>
      <w:numFmt w:val="bullet"/>
      <w:lvlText w:val=""/>
      <w:lvlJc w:val="left"/>
      <w:pPr>
        <w:tabs>
          <w:tab w:val="num" w:pos="1800"/>
        </w:tabs>
        <w:ind w:left="1800" w:hanging="720"/>
      </w:pPr>
      <w:rPr>
        <w:rFonts w:ascii="Wingdings" w:hAnsi="Wingdings" w:hint="default"/>
      </w:rPr>
    </w:lvl>
    <w:lvl w:ilvl="2" w:tplc="FCB2F0E4">
      <w:start w:val="1"/>
      <w:numFmt w:val="lowerLetter"/>
      <w:lvlText w:val="%3."/>
      <w:lvlJc w:val="left"/>
      <w:pPr>
        <w:tabs>
          <w:tab w:val="num" w:pos="2340"/>
        </w:tabs>
        <w:ind w:left="2340" w:hanging="360"/>
      </w:pPr>
      <w:rPr>
        <w:rFonts w:hint="default"/>
        <w:i/>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83222C8"/>
    <w:multiLevelType w:val="hybridMultilevel"/>
    <w:tmpl w:val="133C4B2E"/>
    <w:lvl w:ilvl="0" w:tplc="0409000B">
      <w:start w:val="1"/>
      <w:numFmt w:val="bullet"/>
      <w:lvlText w:val=""/>
      <w:lvlJc w:val="left"/>
      <w:pPr>
        <w:tabs>
          <w:tab w:val="num" w:pos="1872"/>
        </w:tabs>
        <w:ind w:left="1872" w:hanging="360"/>
      </w:pPr>
      <w:rPr>
        <w:rFonts w:ascii="Wingdings" w:hAnsi="Wingdings" w:hint="default"/>
      </w:rPr>
    </w:lvl>
    <w:lvl w:ilvl="1" w:tplc="04090003" w:tentative="1">
      <w:start w:val="1"/>
      <w:numFmt w:val="bullet"/>
      <w:lvlText w:val="o"/>
      <w:lvlJc w:val="left"/>
      <w:pPr>
        <w:tabs>
          <w:tab w:val="num" w:pos="2592"/>
        </w:tabs>
        <w:ind w:left="2592" w:hanging="360"/>
      </w:pPr>
      <w:rPr>
        <w:rFonts w:ascii="Courier New" w:hAnsi="Courier New" w:cs="Courier New" w:hint="default"/>
      </w:rPr>
    </w:lvl>
    <w:lvl w:ilvl="2" w:tplc="04090005" w:tentative="1">
      <w:start w:val="1"/>
      <w:numFmt w:val="bullet"/>
      <w:lvlText w:val=""/>
      <w:lvlJc w:val="left"/>
      <w:pPr>
        <w:tabs>
          <w:tab w:val="num" w:pos="3312"/>
        </w:tabs>
        <w:ind w:left="3312" w:hanging="360"/>
      </w:pPr>
      <w:rPr>
        <w:rFonts w:ascii="Wingdings" w:hAnsi="Wingdings" w:hint="default"/>
      </w:rPr>
    </w:lvl>
    <w:lvl w:ilvl="3" w:tplc="04090001" w:tentative="1">
      <w:start w:val="1"/>
      <w:numFmt w:val="bullet"/>
      <w:lvlText w:val=""/>
      <w:lvlJc w:val="left"/>
      <w:pPr>
        <w:tabs>
          <w:tab w:val="num" w:pos="4032"/>
        </w:tabs>
        <w:ind w:left="4032" w:hanging="360"/>
      </w:pPr>
      <w:rPr>
        <w:rFonts w:ascii="Symbol" w:hAnsi="Symbol" w:hint="default"/>
      </w:rPr>
    </w:lvl>
    <w:lvl w:ilvl="4" w:tplc="04090003" w:tentative="1">
      <w:start w:val="1"/>
      <w:numFmt w:val="bullet"/>
      <w:lvlText w:val="o"/>
      <w:lvlJc w:val="left"/>
      <w:pPr>
        <w:tabs>
          <w:tab w:val="num" w:pos="4752"/>
        </w:tabs>
        <w:ind w:left="4752" w:hanging="360"/>
      </w:pPr>
      <w:rPr>
        <w:rFonts w:ascii="Courier New" w:hAnsi="Courier New" w:cs="Courier New" w:hint="default"/>
      </w:rPr>
    </w:lvl>
    <w:lvl w:ilvl="5" w:tplc="04090005" w:tentative="1">
      <w:start w:val="1"/>
      <w:numFmt w:val="bullet"/>
      <w:lvlText w:val=""/>
      <w:lvlJc w:val="left"/>
      <w:pPr>
        <w:tabs>
          <w:tab w:val="num" w:pos="5472"/>
        </w:tabs>
        <w:ind w:left="5472" w:hanging="360"/>
      </w:pPr>
      <w:rPr>
        <w:rFonts w:ascii="Wingdings" w:hAnsi="Wingdings" w:hint="default"/>
      </w:rPr>
    </w:lvl>
    <w:lvl w:ilvl="6" w:tplc="04090001" w:tentative="1">
      <w:start w:val="1"/>
      <w:numFmt w:val="bullet"/>
      <w:lvlText w:val=""/>
      <w:lvlJc w:val="left"/>
      <w:pPr>
        <w:tabs>
          <w:tab w:val="num" w:pos="6192"/>
        </w:tabs>
        <w:ind w:left="6192" w:hanging="360"/>
      </w:pPr>
      <w:rPr>
        <w:rFonts w:ascii="Symbol" w:hAnsi="Symbol" w:hint="default"/>
      </w:rPr>
    </w:lvl>
    <w:lvl w:ilvl="7" w:tplc="04090003" w:tentative="1">
      <w:start w:val="1"/>
      <w:numFmt w:val="bullet"/>
      <w:lvlText w:val="o"/>
      <w:lvlJc w:val="left"/>
      <w:pPr>
        <w:tabs>
          <w:tab w:val="num" w:pos="6912"/>
        </w:tabs>
        <w:ind w:left="6912" w:hanging="360"/>
      </w:pPr>
      <w:rPr>
        <w:rFonts w:ascii="Courier New" w:hAnsi="Courier New" w:cs="Courier New" w:hint="default"/>
      </w:rPr>
    </w:lvl>
    <w:lvl w:ilvl="8" w:tplc="04090005" w:tentative="1">
      <w:start w:val="1"/>
      <w:numFmt w:val="bullet"/>
      <w:lvlText w:val=""/>
      <w:lvlJc w:val="left"/>
      <w:pPr>
        <w:tabs>
          <w:tab w:val="num" w:pos="7632"/>
        </w:tabs>
        <w:ind w:left="7632" w:hanging="360"/>
      </w:pPr>
      <w:rPr>
        <w:rFonts w:ascii="Wingdings" w:hAnsi="Wingdings" w:hint="default"/>
      </w:rPr>
    </w:lvl>
  </w:abstractNum>
  <w:abstractNum w:abstractNumId="2">
    <w:nsid w:val="18424731"/>
    <w:multiLevelType w:val="hybridMultilevel"/>
    <w:tmpl w:val="B39A8F50"/>
    <w:lvl w:ilvl="0" w:tplc="36D2914A">
      <w:start w:val="1"/>
      <w:numFmt w:val="bullet"/>
      <w:lvlText w:val=""/>
      <w:lvlJc w:val="left"/>
      <w:pPr>
        <w:tabs>
          <w:tab w:val="num" w:pos="1080"/>
        </w:tabs>
        <w:ind w:left="1080" w:hanging="72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1A805108"/>
    <w:multiLevelType w:val="hybridMultilevel"/>
    <w:tmpl w:val="AC42FB94"/>
    <w:lvl w:ilvl="0" w:tplc="36D2914A">
      <w:start w:val="1"/>
      <w:numFmt w:val="bullet"/>
      <w:lvlText w:val=""/>
      <w:lvlJc w:val="left"/>
      <w:pPr>
        <w:tabs>
          <w:tab w:val="num" w:pos="1512"/>
        </w:tabs>
        <w:ind w:left="1512" w:hanging="720"/>
      </w:pPr>
      <w:rPr>
        <w:rFonts w:ascii="Wingdings" w:hAnsi="Wingdings" w:hint="default"/>
      </w:rPr>
    </w:lvl>
    <w:lvl w:ilvl="1" w:tplc="04090003" w:tentative="1">
      <w:start w:val="1"/>
      <w:numFmt w:val="bullet"/>
      <w:lvlText w:val="o"/>
      <w:lvlJc w:val="left"/>
      <w:pPr>
        <w:tabs>
          <w:tab w:val="num" w:pos="1872"/>
        </w:tabs>
        <w:ind w:left="1872" w:hanging="360"/>
      </w:pPr>
      <w:rPr>
        <w:rFonts w:ascii="Courier New" w:hAnsi="Courier New" w:cs="Courier New" w:hint="default"/>
      </w:rPr>
    </w:lvl>
    <w:lvl w:ilvl="2" w:tplc="04090005" w:tentative="1">
      <w:start w:val="1"/>
      <w:numFmt w:val="bullet"/>
      <w:lvlText w:val=""/>
      <w:lvlJc w:val="left"/>
      <w:pPr>
        <w:tabs>
          <w:tab w:val="num" w:pos="2592"/>
        </w:tabs>
        <w:ind w:left="2592" w:hanging="360"/>
      </w:pPr>
      <w:rPr>
        <w:rFonts w:ascii="Wingdings" w:hAnsi="Wingdings" w:hint="default"/>
      </w:rPr>
    </w:lvl>
    <w:lvl w:ilvl="3" w:tplc="04090001" w:tentative="1">
      <w:start w:val="1"/>
      <w:numFmt w:val="bullet"/>
      <w:lvlText w:val=""/>
      <w:lvlJc w:val="left"/>
      <w:pPr>
        <w:tabs>
          <w:tab w:val="num" w:pos="3312"/>
        </w:tabs>
        <w:ind w:left="3312" w:hanging="360"/>
      </w:pPr>
      <w:rPr>
        <w:rFonts w:ascii="Symbol" w:hAnsi="Symbol" w:hint="default"/>
      </w:rPr>
    </w:lvl>
    <w:lvl w:ilvl="4" w:tplc="04090003" w:tentative="1">
      <w:start w:val="1"/>
      <w:numFmt w:val="bullet"/>
      <w:lvlText w:val="o"/>
      <w:lvlJc w:val="left"/>
      <w:pPr>
        <w:tabs>
          <w:tab w:val="num" w:pos="4032"/>
        </w:tabs>
        <w:ind w:left="4032" w:hanging="360"/>
      </w:pPr>
      <w:rPr>
        <w:rFonts w:ascii="Courier New" w:hAnsi="Courier New" w:cs="Courier New" w:hint="default"/>
      </w:rPr>
    </w:lvl>
    <w:lvl w:ilvl="5" w:tplc="04090005" w:tentative="1">
      <w:start w:val="1"/>
      <w:numFmt w:val="bullet"/>
      <w:lvlText w:val=""/>
      <w:lvlJc w:val="left"/>
      <w:pPr>
        <w:tabs>
          <w:tab w:val="num" w:pos="4752"/>
        </w:tabs>
        <w:ind w:left="4752" w:hanging="360"/>
      </w:pPr>
      <w:rPr>
        <w:rFonts w:ascii="Wingdings" w:hAnsi="Wingdings" w:hint="default"/>
      </w:rPr>
    </w:lvl>
    <w:lvl w:ilvl="6" w:tplc="04090001" w:tentative="1">
      <w:start w:val="1"/>
      <w:numFmt w:val="bullet"/>
      <w:lvlText w:val=""/>
      <w:lvlJc w:val="left"/>
      <w:pPr>
        <w:tabs>
          <w:tab w:val="num" w:pos="5472"/>
        </w:tabs>
        <w:ind w:left="5472" w:hanging="360"/>
      </w:pPr>
      <w:rPr>
        <w:rFonts w:ascii="Symbol" w:hAnsi="Symbol" w:hint="default"/>
      </w:rPr>
    </w:lvl>
    <w:lvl w:ilvl="7" w:tplc="04090003" w:tentative="1">
      <w:start w:val="1"/>
      <w:numFmt w:val="bullet"/>
      <w:lvlText w:val="o"/>
      <w:lvlJc w:val="left"/>
      <w:pPr>
        <w:tabs>
          <w:tab w:val="num" w:pos="6192"/>
        </w:tabs>
        <w:ind w:left="6192" w:hanging="360"/>
      </w:pPr>
      <w:rPr>
        <w:rFonts w:ascii="Courier New" w:hAnsi="Courier New" w:cs="Courier New" w:hint="default"/>
      </w:rPr>
    </w:lvl>
    <w:lvl w:ilvl="8" w:tplc="04090005" w:tentative="1">
      <w:start w:val="1"/>
      <w:numFmt w:val="bullet"/>
      <w:lvlText w:val=""/>
      <w:lvlJc w:val="left"/>
      <w:pPr>
        <w:tabs>
          <w:tab w:val="num" w:pos="6912"/>
        </w:tabs>
        <w:ind w:left="6912" w:hanging="360"/>
      </w:pPr>
      <w:rPr>
        <w:rFonts w:ascii="Wingdings" w:hAnsi="Wingdings" w:hint="default"/>
      </w:rPr>
    </w:lvl>
  </w:abstractNum>
  <w:abstractNum w:abstractNumId="4">
    <w:nsid w:val="22AD0B03"/>
    <w:multiLevelType w:val="hybridMultilevel"/>
    <w:tmpl w:val="43709F88"/>
    <w:lvl w:ilvl="0" w:tplc="36D2914A">
      <w:start w:val="1"/>
      <w:numFmt w:val="bullet"/>
      <w:lvlText w:val=""/>
      <w:lvlJc w:val="left"/>
      <w:pPr>
        <w:tabs>
          <w:tab w:val="num" w:pos="1080"/>
        </w:tabs>
        <w:ind w:left="1080" w:hanging="72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3C8C142C"/>
    <w:multiLevelType w:val="hybridMultilevel"/>
    <w:tmpl w:val="2C50821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492F4B3F"/>
    <w:multiLevelType w:val="multilevel"/>
    <w:tmpl w:val="9F528206"/>
    <w:lvl w:ilvl="0">
      <w:start w:val="1"/>
      <w:numFmt w:val="bullet"/>
      <w:lvlText w:val=""/>
      <w:lvlJc w:val="left"/>
      <w:pPr>
        <w:tabs>
          <w:tab w:val="num" w:pos="1080"/>
        </w:tabs>
        <w:ind w:left="1080" w:hanging="72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7">
    <w:nsid w:val="4B4C6E9A"/>
    <w:multiLevelType w:val="hybridMultilevel"/>
    <w:tmpl w:val="9F528206"/>
    <w:lvl w:ilvl="0" w:tplc="36D2914A">
      <w:start w:val="1"/>
      <w:numFmt w:val="bullet"/>
      <w:lvlText w:val=""/>
      <w:lvlJc w:val="left"/>
      <w:pPr>
        <w:tabs>
          <w:tab w:val="num" w:pos="1080"/>
        </w:tabs>
        <w:ind w:left="1080" w:hanging="72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4EC0537C"/>
    <w:multiLevelType w:val="hybridMultilevel"/>
    <w:tmpl w:val="0178B582"/>
    <w:lvl w:ilvl="0" w:tplc="F4C610F6">
      <w:start w:val="1"/>
      <w:numFmt w:val="bullet"/>
      <w:lvlText w:val="o"/>
      <w:lvlJc w:val="left"/>
      <w:pPr>
        <w:tabs>
          <w:tab w:val="num" w:pos="1728"/>
        </w:tabs>
        <w:ind w:left="1728" w:hanging="216"/>
      </w:pPr>
      <w:rPr>
        <w:rFonts w:ascii="Courier New" w:hAnsi="Courier New" w:hint="default"/>
      </w:rPr>
    </w:lvl>
    <w:lvl w:ilvl="1" w:tplc="04090003" w:tentative="1">
      <w:start w:val="1"/>
      <w:numFmt w:val="bullet"/>
      <w:lvlText w:val="o"/>
      <w:lvlJc w:val="left"/>
      <w:pPr>
        <w:tabs>
          <w:tab w:val="num" w:pos="2592"/>
        </w:tabs>
        <w:ind w:left="2592" w:hanging="360"/>
      </w:pPr>
      <w:rPr>
        <w:rFonts w:ascii="Courier New" w:hAnsi="Courier New" w:cs="Courier New" w:hint="default"/>
      </w:rPr>
    </w:lvl>
    <w:lvl w:ilvl="2" w:tplc="04090005" w:tentative="1">
      <w:start w:val="1"/>
      <w:numFmt w:val="bullet"/>
      <w:lvlText w:val=""/>
      <w:lvlJc w:val="left"/>
      <w:pPr>
        <w:tabs>
          <w:tab w:val="num" w:pos="3312"/>
        </w:tabs>
        <w:ind w:left="3312" w:hanging="360"/>
      </w:pPr>
      <w:rPr>
        <w:rFonts w:ascii="Wingdings" w:hAnsi="Wingdings" w:hint="default"/>
      </w:rPr>
    </w:lvl>
    <w:lvl w:ilvl="3" w:tplc="04090001" w:tentative="1">
      <w:start w:val="1"/>
      <w:numFmt w:val="bullet"/>
      <w:lvlText w:val=""/>
      <w:lvlJc w:val="left"/>
      <w:pPr>
        <w:tabs>
          <w:tab w:val="num" w:pos="4032"/>
        </w:tabs>
        <w:ind w:left="4032" w:hanging="360"/>
      </w:pPr>
      <w:rPr>
        <w:rFonts w:ascii="Symbol" w:hAnsi="Symbol" w:hint="default"/>
      </w:rPr>
    </w:lvl>
    <w:lvl w:ilvl="4" w:tplc="04090003" w:tentative="1">
      <w:start w:val="1"/>
      <w:numFmt w:val="bullet"/>
      <w:lvlText w:val="o"/>
      <w:lvlJc w:val="left"/>
      <w:pPr>
        <w:tabs>
          <w:tab w:val="num" w:pos="4752"/>
        </w:tabs>
        <w:ind w:left="4752" w:hanging="360"/>
      </w:pPr>
      <w:rPr>
        <w:rFonts w:ascii="Courier New" w:hAnsi="Courier New" w:cs="Courier New" w:hint="default"/>
      </w:rPr>
    </w:lvl>
    <w:lvl w:ilvl="5" w:tplc="04090005" w:tentative="1">
      <w:start w:val="1"/>
      <w:numFmt w:val="bullet"/>
      <w:lvlText w:val=""/>
      <w:lvlJc w:val="left"/>
      <w:pPr>
        <w:tabs>
          <w:tab w:val="num" w:pos="5472"/>
        </w:tabs>
        <w:ind w:left="5472" w:hanging="360"/>
      </w:pPr>
      <w:rPr>
        <w:rFonts w:ascii="Wingdings" w:hAnsi="Wingdings" w:hint="default"/>
      </w:rPr>
    </w:lvl>
    <w:lvl w:ilvl="6" w:tplc="04090001" w:tentative="1">
      <w:start w:val="1"/>
      <w:numFmt w:val="bullet"/>
      <w:lvlText w:val=""/>
      <w:lvlJc w:val="left"/>
      <w:pPr>
        <w:tabs>
          <w:tab w:val="num" w:pos="6192"/>
        </w:tabs>
        <w:ind w:left="6192" w:hanging="360"/>
      </w:pPr>
      <w:rPr>
        <w:rFonts w:ascii="Symbol" w:hAnsi="Symbol" w:hint="default"/>
      </w:rPr>
    </w:lvl>
    <w:lvl w:ilvl="7" w:tplc="04090003" w:tentative="1">
      <w:start w:val="1"/>
      <w:numFmt w:val="bullet"/>
      <w:lvlText w:val="o"/>
      <w:lvlJc w:val="left"/>
      <w:pPr>
        <w:tabs>
          <w:tab w:val="num" w:pos="6912"/>
        </w:tabs>
        <w:ind w:left="6912" w:hanging="360"/>
      </w:pPr>
      <w:rPr>
        <w:rFonts w:ascii="Courier New" w:hAnsi="Courier New" w:cs="Courier New" w:hint="default"/>
      </w:rPr>
    </w:lvl>
    <w:lvl w:ilvl="8" w:tplc="04090005" w:tentative="1">
      <w:start w:val="1"/>
      <w:numFmt w:val="bullet"/>
      <w:lvlText w:val=""/>
      <w:lvlJc w:val="left"/>
      <w:pPr>
        <w:tabs>
          <w:tab w:val="num" w:pos="7632"/>
        </w:tabs>
        <w:ind w:left="7632" w:hanging="360"/>
      </w:pPr>
      <w:rPr>
        <w:rFonts w:ascii="Wingdings" w:hAnsi="Wingdings" w:hint="default"/>
      </w:rPr>
    </w:lvl>
  </w:abstractNum>
  <w:abstractNum w:abstractNumId="9">
    <w:nsid w:val="4F5F3187"/>
    <w:multiLevelType w:val="multilevel"/>
    <w:tmpl w:val="24588E5A"/>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5D6953DA"/>
    <w:multiLevelType w:val="hybridMultilevel"/>
    <w:tmpl w:val="910875F8"/>
    <w:lvl w:ilvl="0" w:tplc="04090017">
      <w:start w:val="1"/>
      <w:numFmt w:val="lowerLetter"/>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69897640"/>
    <w:multiLevelType w:val="multilevel"/>
    <w:tmpl w:val="133C4B2E"/>
    <w:lvl w:ilvl="0">
      <w:start w:val="1"/>
      <w:numFmt w:val="bullet"/>
      <w:lvlText w:val=""/>
      <w:lvlJc w:val="left"/>
      <w:pPr>
        <w:tabs>
          <w:tab w:val="num" w:pos="1872"/>
        </w:tabs>
        <w:ind w:left="1872" w:hanging="360"/>
      </w:pPr>
      <w:rPr>
        <w:rFonts w:ascii="Wingdings" w:hAnsi="Wingdings" w:hint="default"/>
      </w:rPr>
    </w:lvl>
    <w:lvl w:ilvl="1">
      <w:start w:val="1"/>
      <w:numFmt w:val="bullet"/>
      <w:lvlText w:val="o"/>
      <w:lvlJc w:val="left"/>
      <w:pPr>
        <w:tabs>
          <w:tab w:val="num" w:pos="2592"/>
        </w:tabs>
        <w:ind w:left="2592" w:hanging="360"/>
      </w:pPr>
      <w:rPr>
        <w:rFonts w:ascii="Courier New" w:hAnsi="Courier New" w:cs="Courier New" w:hint="default"/>
      </w:rPr>
    </w:lvl>
    <w:lvl w:ilvl="2">
      <w:start w:val="1"/>
      <w:numFmt w:val="bullet"/>
      <w:lvlText w:val=""/>
      <w:lvlJc w:val="left"/>
      <w:pPr>
        <w:tabs>
          <w:tab w:val="num" w:pos="3312"/>
        </w:tabs>
        <w:ind w:left="3312" w:hanging="360"/>
      </w:pPr>
      <w:rPr>
        <w:rFonts w:ascii="Wingdings" w:hAnsi="Wingdings" w:hint="default"/>
      </w:rPr>
    </w:lvl>
    <w:lvl w:ilvl="3">
      <w:start w:val="1"/>
      <w:numFmt w:val="bullet"/>
      <w:lvlText w:val=""/>
      <w:lvlJc w:val="left"/>
      <w:pPr>
        <w:tabs>
          <w:tab w:val="num" w:pos="4032"/>
        </w:tabs>
        <w:ind w:left="4032" w:hanging="360"/>
      </w:pPr>
      <w:rPr>
        <w:rFonts w:ascii="Symbol" w:hAnsi="Symbol" w:hint="default"/>
      </w:rPr>
    </w:lvl>
    <w:lvl w:ilvl="4">
      <w:start w:val="1"/>
      <w:numFmt w:val="bullet"/>
      <w:lvlText w:val="o"/>
      <w:lvlJc w:val="left"/>
      <w:pPr>
        <w:tabs>
          <w:tab w:val="num" w:pos="4752"/>
        </w:tabs>
        <w:ind w:left="4752" w:hanging="360"/>
      </w:pPr>
      <w:rPr>
        <w:rFonts w:ascii="Courier New" w:hAnsi="Courier New" w:cs="Courier New" w:hint="default"/>
      </w:rPr>
    </w:lvl>
    <w:lvl w:ilvl="5">
      <w:start w:val="1"/>
      <w:numFmt w:val="bullet"/>
      <w:lvlText w:val=""/>
      <w:lvlJc w:val="left"/>
      <w:pPr>
        <w:tabs>
          <w:tab w:val="num" w:pos="5472"/>
        </w:tabs>
        <w:ind w:left="5472" w:hanging="360"/>
      </w:pPr>
      <w:rPr>
        <w:rFonts w:ascii="Wingdings" w:hAnsi="Wingdings" w:hint="default"/>
      </w:rPr>
    </w:lvl>
    <w:lvl w:ilvl="6">
      <w:start w:val="1"/>
      <w:numFmt w:val="bullet"/>
      <w:lvlText w:val=""/>
      <w:lvlJc w:val="left"/>
      <w:pPr>
        <w:tabs>
          <w:tab w:val="num" w:pos="6192"/>
        </w:tabs>
        <w:ind w:left="6192" w:hanging="360"/>
      </w:pPr>
      <w:rPr>
        <w:rFonts w:ascii="Symbol" w:hAnsi="Symbol" w:hint="default"/>
      </w:rPr>
    </w:lvl>
    <w:lvl w:ilvl="7">
      <w:start w:val="1"/>
      <w:numFmt w:val="bullet"/>
      <w:lvlText w:val="o"/>
      <w:lvlJc w:val="left"/>
      <w:pPr>
        <w:tabs>
          <w:tab w:val="num" w:pos="6912"/>
        </w:tabs>
        <w:ind w:left="6912" w:hanging="360"/>
      </w:pPr>
      <w:rPr>
        <w:rFonts w:ascii="Courier New" w:hAnsi="Courier New" w:cs="Courier New" w:hint="default"/>
      </w:rPr>
    </w:lvl>
    <w:lvl w:ilvl="8">
      <w:start w:val="1"/>
      <w:numFmt w:val="bullet"/>
      <w:lvlText w:val=""/>
      <w:lvlJc w:val="left"/>
      <w:pPr>
        <w:tabs>
          <w:tab w:val="num" w:pos="7632"/>
        </w:tabs>
        <w:ind w:left="7632" w:hanging="360"/>
      </w:pPr>
      <w:rPr>
        <w:rFonts w:ascii="Wingdings" w:hAnsi="Wingdings" w:hint="default"/>
      </w:rPr>
    </w:lvl>
  </w:abstractNum>
  <w:abstractNum w:abstractNumId="12">
    <w:nsid w:val="6F7E03F1"/>
    <w:multiLevelType w:val="hybridMultilevel"/>
    <w:tmpl w:val="B498A68C"/>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7"/>
  </w:num>
  <w:num w:numId="3">
    <w:abstractNumId w:val="6"/>
  </w:num>
  <w:num w:numId="4">
    <w:abstractNumId w:val="12"/>
  </w:num>
  <w:num w:numId="5">
    <w:abstractNumId w:val="10"/>
  </w:num>
  <w:num w:numId="6">
    <w:abstractNumId w:val="9"/>
  </w:num>
  <w:num w:numId="7">
    <w:abstractNumId w:val="1"/>
  </w:num>
  <w:num w:numId="8">
    <w:abstractNumId w:val="11"/>
  </w:num>
  <w:num w:numId="9">
    <w:abstractNumId w:val="8"/>
  </w:num>
  <w:num w:numId="10">
    <w:abstractNumId w:val="5"/>
  </w:num>
  <w:num w:numId="11">
    <w:abstractNumId w:val="0"/>
  </w:num>
  <w:num w:numId="12">
    <w:abstractNumId w:val="4"/>
  </w:num>
  <w:num w:numId="13">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proofState w:spelling="clean" w:grammar="clean"/>
  <w:stylePaneFormatFilter w:val="3F01"/>
  <w:defaultTabStop w:val="720"/>
  <w:characterSpacingControl w:val="doNotCompress"/>
  <w:hdrShapeDefaults>
    <o:shapedefaults v:ext="edit" spidmax="5122"/>
  </w:hdrShapeDefaults>
  <w:footnotePr>
    <w:footnote w:id="-1"/>
    <w:footnote w:id="0"/>
    <w:footnote w:id="1"/>
  </w:footnotePr>
  <w:endnotePr>
    <w:endnote w:id="-1"/>
    <w:endnote w:id="0"/>
    <w:endnote w:id="1"/>
  </w:endnotePr>
  <w:compat/>
  <w:rsids>
    <w:rsidRoot w:val="004419ED"/>
    <w:rsid w:val="0000265D"/>
    <w:rsid w:val="00002F08"/>
    <w:rsid w:val="00006A86"/>
    <w:rsid w:val="00006F28"/>
    <w:rsid w:val="0001308E"/>
    <w:rsid w:val="00016649"/>
    <w:rsid w:val="00022193"/>
    <w:rsid w:val="00023645"/>
    <w:rsid w:val="000258D3"/>
    <w:rsid w:val="00027884"/>
    <w:rsid w:val="00030A84"/>
    <w:rsid w:val="00040BB9"/>
    <w:rsid w:val="000424D1"/>
    <w:rsid w:val="00043221"/>
    <w:rsid w:val="00053812"/>
    <w:rsid w:val="00055EBB"/>
    <w:rsid w:val="000638EB"/>
    <w:rsid w:val="00067042"/>
    <w:rsid w:val="000704BC"/>
    <w:rsid w:val="00074CCC"/>
    <w:rsid w:val="00075A86"/>
    <w:rsid w:val="00080236"/>
    <w:rsid w:val="00082FF6"/>
    <w:rsid w:val="00083134"/>
    <w:rsid w:val="00083C39"/>
    <w:rsid w:val="0009099A"/>
    <w:rsid w:val="0009167C"/>
    <w:rsid w:val="000922F9"/>
    <w:rsid w:val="000928ED"/>
    <w:rsid w:val="00094D37"/>
    <w:rsid w:val="00094D80"/>
    <w:rsid w:val="000A07B7"/>
    <w:rsid w:val="000A5343"/>
    <w:rsid w:val="000A746B"/>
    <w:rsid w:val="000B48B8"/>
    <w:rsid w:val="000B4C11"/>
    <w:rsid w:val="000B637E"/>
    <w:rsid w:val="000C2027"/>
    <w:rsid w:val="000C3343"/>
    <w:rsid w:val="000C4078"/>
    <w:rsid w:val="000C660D"/>
    <w:rsid w:val="000C7A3A"/>
    <w:rsid w:val="000D59D5"/>
    <w:rsid w:val="000E01DC"/>
    <w:rsid w:val="000E0D69"/>
    <w:rsid w:val="000E411F"/>
    <w:rsid w:val="000E70E7"/>
    <w:rsid w:val="000E7A71"/>
    <w:rsid w:val="000F14B6"/>
    <w:rsid w:val="000F75F2"/>
    <w:rsid w:val="000F7721"/>
    <w:rsid w:val="000F79D3"/>
    <w:rsid w:val="00100A75"/>
    <w:rsid w:val="00102E77"/>
    <w:rsid w:val="001065FD"/>
    <w:rsid w:val="001128A3"/>
    <w:rsid w:val="00114808"/>
    <w:rsid w:val="00115F79"/>
    <w:rsid w:val="00122411"/>
    <w:rsid w:val="00123648"/>
    <w:rsid w:val="00125DB3"/>
    <w:rsid w:val="00132D3B"/>
    <w:rsid w:val="00143007"/>
    <w:rsid w:val="00150A02"/>
    <w:rsid w:val="00150F25"/>
    <w:rsid w:val="0015181B"/>
    <w:rsid w:val="00156674"/>
    <w:rsid w:val="00162278"/>
    <w:rsid w:val="00170FCE"/>
    <w:rsid w:val="00172725"/>
    <w:rsid w:val="0017568E"/>
    <w:rsid w:val="0018209A"/>
    <w:rsid w:val="00185F4A"/>
    <w:rsid w:val="0019164E"/>
    <w:rsid w:val="00197E48"/>
    <w:rsid w:val="001A0B26"/>
    <w:rsid w:val="001A3BF9"/>
    <w:rsid w:val="001A65C3"/>
    <w:rsid w:val="001A6BF7"/>
    <w:rsid w:val="001A7905"/>
    <w:rsid w:val="001B3422"/>
    <w:rsid w:val="001B79AC"/>
    <w:rsid w:val="001C0119"/>
    <w:rsid w:val="001C0FE9"/>
    <w:rsid w:val="001C58C1"/>
    <w:rsid w:val="001D0084"/>
    <w:rsid w:val="001D5158"/>
    <w:rsid w:val="001D77E1"/>
    <w:rsid w:val="001E315D"/>
    <w:rsid w:val="001E5CED"/>
    <w:rsid w:val="001E64D6"/>
    <w:rsid w:val="001E7FB0"/>
    <w:rsid w:val="001F5BD3"/>
    <w:rsid w:val="0020312A"/>
    <w:rsid w:val="002136FE"/>
    <w:rsid w:val="002153A8"/>
    <w:rsid w:val="00217911"/>
    <w:rsid w:val="002241CD"/>
    <w:rsid w:val="002251B4"/>
    <w:rsid w:val="00226C4F"/>
    <w:rsid w:val="00231CE0"/>
    <w:rsid w:val="00245DDD"/>
    <w:rsid w:val="00247C6D"/>
    <w:rsid w:val="002510FC"/>
    <w:rsid w:val="00252324"/>
    <w:rsid w:val="00252A3D"/>
    <w:rsid w:val="0025466F"/>
    <w:rsid w:val="002657B2"/>
    <w:rsid w:val="00266DAA"/>
    <w:rsid w:val="00272B38"/>
    <w:rsid w:val="00276E3E"/>
    <w:rsid w:val="00277847"/>
    <w:rsid w:val="0028087B"/>
    <w:rsid w:val="00284142"/>
    <w:rsid w:val="0028498B"/>
    <w:rsid w:val="00294D45"/>
    <w:rsid w:val="0029575E"/>
    <w:rsid w:val="00295DF7"/>
    <w:rsid w:val="002A39FB"/>
    <w:rsid w:val="002A76DB"/>
    <w:rsid w:val="002B51DB"/>
    <w:rsid w:val="002B6D35"/>
    <w:rsid w:val="002B7234"/>
    <w:rsid w:val="002C5856"/>
    <w:rsid w:val="002C6AD5"/>
    <w:rsid w:val="002C7A67"/>
    <w:rsid w:val="002E0635"/>
    <w:rsid w:val="002E1BEF"/>
    <w:rsid w:val="002E405D"/>
    <w:rsid w:val="002F08AA"/>
    <w:rsid w:val="002F26DF"/>
    <w:rsid w:val="002F4483"/>
    <w:rsid w:val="003018B2"/>
    <w:rsid w:val="00307E7D"/>
    <w:rsid w:val="0031002E"/>
    <w:rsid w:val="00310A90"/>
    <w:rsid w:val="0031437F"/>
    <w:rsid w:val="00316FB9"/>
    <w:rsid w:val="00324CF1"/>
    <w:rsid w:val="0032542C"/>
    <w:rsid w:val="003256D9"/>
    <w:rsid w:val="00325DC6"/>
    <w:rsid w:val="003320B8"/>
    <w:rsid w:val="003334A0"/>
    <w:rsid w:val="00333775"/>
    <w:rsid w:val="00333A80"/>
    <w:rsid w:val="00333E29"/>
    <w:rsid w:val="003351EA"/>
    <w:rsid w:val="003418B8"/>
    <w:rsid w:val="00341CD8"/>
    <w:rsid w:val="00341F9E"/>
    <w:rsid w:val="00343086"/>
    <w:rsid w:val="003453ED"/>
    <w:rsid w:val="00347F44"/>
    <w:rsid w:val="00350E61"/>
    <w:rsid w:val="00351377"/>
    <w:rsid w:val="0035186D"/>
    <w:rsid w:val="00352FDA"/>
    <w:rsid w:val="0035335A"/>
    <w:rsid w:val="003537C6"/>
    <w:rsid w:val="0035636A"/>
    <w:rsid w:val="003673A8"/>
    <w:rsid w:val="00367923"/>
    <w:rsid w:val="00371703"/>
    <w:rsid w:val="0037489B"/>
    <w:rsid w:val="003818AD"/>
    <w:rsid w:val="00382037"/>
    <w:rsid w:val="00384640"/>
    <w:rsid w:val="00386A71"/>
    <w:rsid w:val="0039427E"/>
    <w:rsid w:val="00394A11"/>
    <w:rsid w:val="00394BA1"/>
    <w:rsid w:val="003A154F"/>
    <w:rsid w:val="003A27E4"/>
    <w:rsid w:val="003B1F6D"/>
    <w:rsid w:val="003B4B11"/>
    <w:rsid w:val="003B5525"/>
    <w:rsid w:val="003B56A4"/>
    <w:rsid w:val="003B7D88"/>
    <w:rsid w:val="003C01AD"/>
    <w:rsid w:val="003C26A5"/>
    <w:rsid w:val="003C2D4C"/>
    <w:rsid w:val="003D40C2"/>
    <w:rsid w:val="003D4904"/>
    <w:rsid w:val="003D68B2"/>
    <w:rsid w:val="003E37CF"/>
    <w:rsid w:val="003F0FB7"/>
    <w:rsid w:val="003F2AE9"/>
    <w:rsid w:val="003F6932"/>
    <w:rsid w:val="003F788F"/>
    <w:rsid w:val="00405CAC"/>
    <w:rsid w:val="00406163"/>
    <w:rsid w:val="004137D1"/>
    <w:rsid w:val="0041409F"/>
    <w:rsid w:val="0041642A"/>
    <w:rsid w:val="00421055"/>
    <w:rsid w:val="00421CA1"/>
    <w:rsid w:val="004244CF"/>
    <w:rsid w:val="004247A3"/>
    <w:rsid w:val="004250B2"/>
    <w:rsid w:val="00431F69"/>
    <w:rsid w:val="00440E3B"/>
    <w:rsid w:val="00441915"/>
    <w:rsid w:val="004419ED"/>
    <w:rsid w:val="004456AC"/>
    <w:rsid w:val="004509D2"/>
    <w:rsid w:val="00454769"/>
    <w:rsid w:val="0045548A"/>
    <w:rsid w:val="0045719D"/>
    <w:rsid w:val="00460D3C"/>
    <w:rsid w:val="004633AB"/>
    <w:rsid w:val="00463FC0"/>
    <w:rsid w:val="004677F2"/>
    <w:rsid w:val="00485E94"/>
    <w:rsid w:val="00491811"/>
    <w:rsid w:val="0049631C"/>
    <w:rsid w:val="00497B64"/>
    <w:rsid w:val="004A2119"/>
    <w:rsid w:val="004A2EF6"/>
    <w:rsid w:val="004A4B4B"/>
    <w:rsid w:val="004A5FC2"/>
    <w:rsid w:val="004B3EB0"/>
    <w:rsid w:val="004B6E9D"/>
    <w:rsid w:val="004B6F51"/>
    <w:rsid w:val="004B7728"/>
    <w:rsid w:val="004C639F"/>
    <w:rsid w:val="004D1AF6"/>
    <w:rsid w:val="004D2668"/>
    <w:rsid w:val="004D2A36"/>
    <w:rsid w:val="004D61BD"/>
    <w:rsid w:val="004D6D9E"/>
    <w:rsid w:val="004E20EA"/>
    <w:rsid w:val="004F1A74"/>
    <w:rsid w:val="004F6D45"/>
    <w:rsid w:val="0050117C"/>
    <w:rsid w:val="005018DE"/>
    <w:rsid w:val="00504571"/>
    <w:rsid w:val="00507358"/>
    <w:rsid w:val="00510115"/>
    <w:rsid w:val="00512AC9"/>
    <w:rsid w:val="0051700F"/>
    <w:rsid w:val="0052212A"/>
    <w:rsid w:val="00524ECD"/>
    <w:rsid w:val="00525719"/>
    <w:rsid w:val="00535EF2"/>
    <w:rsid w:val="00543976"/>
    <w:rsid w:val="005443EA"/>
    <w:rsid w:val="00544473"/>
    <w:rsid w:val="005546B8"/>
    <w:rsid w:val="00556F2A"/>
    <w:rsid w:val="0056085B"/>
    <w:rsid w:val="00560CD1"/>
    <w:rsid w:val="00563E7B"/>
    <w:rsid w:val="005640D3"/>
    <w:rsid w:val="00564E2F"/>
    <w:rsid w:val="00567A00"/>
    <w:rsid w:val="00567DAC"/>
    <w:rsid w:val="00574B11"/>
    <w:rsid w:val="00575B76"/>
    <w:rsid w:val="00575C56"/>
    <w:rsid w:val="005767DD"/>
    <w:rsid w:val="005849A2"/>
    <w:rsid w:val="00586383"/>
    <w:rsid w:val="00587687"/>
    <w:rsid w:val="005932F7"/>
    <w:rsid w:val="005957B6"/>
    <w:rsid w:val="005A1219"/>
    <w:rsid w:val="005A2E69"/>
    <w:rsid w:val="005A5354"/>
    <w:rsid w:val="005A5D62"/>
    <w:rsid w:val="005B089E"/>
    <w:rsid w:val="005B37BB"/>
    <w:rsid w:val="005C4967"/>
    <w:rsid w:val="005C5872"/>
    <w:rsid w:val="005E51F3"/>
    <w:rsid w:val="005F0DE1"/>
    <w:rsid w:val="005F311D"/>
    <w:rsid w:val="005F5B64"/>
    <w:rsid w:val="006005EC"/>
    <w:rsid w:val="006050C5"/>
    <w:rsid w:val="00612CB5"/>
    <w:rsid w:val="006159E4"/>
    <w:rsid w:val="00615E5A"/>
    <w:rsid w:val="006160D4"/>
    <w:rsid w:val="0061795A"/>
    <w:rsid w:val="00621D01"/>
    <w:rsid w:val="00622EC0"/>
    <w:rsid w:val="0062351E"/>
    <w:rsid w:val="006275B5"/>
    <w:rsid w:val="006308C4"/>
    <w:rsid w:val="00636111"/>
    <w:rsid w:val="00637A29"/>
    <w:rsid w:val="00640832"/>
    <w:rsid w:val="00643C63"/>
    <w:rsid w:val="006443C7"/>
    <w:rsid w:val="00644A52"/>
    <w:rsid w:val="00645221"/>
    <w:rsid w:val="006453CB"/>
    <w:rsid w:val="0064551F"/>
    <w:rsid w:val="00653D98"/>
    <w:rsid w:val="00655973"/>
    <w:rsid w:val="00656111"/>
    <w:rsid w:val="0066023F"/>
    <w:rsid w:val="0066505E"/>
    <w:rsid w:val="006659EF"/>
    <w:rsid w:val="00667CDF"/>
    <w:rsid w:val="00684E88"/>
    <w:rsid w:val="0068627F"/>
    <w:rsid w:val="006874BD"/>
    <w:rsid w:val="00690B2A"/>
    <w:rsid w:val="00692DFA"/>
    <w:rsid w:val="006958A5"/>
    <w:rsid w:val="006A03A2"/>
    <w:rsid w:val="006A2351"/>
    <w:rsid w:val="006A55BE"/>
    <w:rsid w:val="006A5F2D"/>
    <w:rsid w:val="006A62F0"/>
    <w:rsid w:val="006A670F"/>
    <w:rsid w:val="006B66EB"/>
    <w:rsid w:val="006B7947"/>
    <w:rsid w:val="006B7DC8"/>
    <w:rsid w:val="006C76A1"/>
    <w:rsid w:val="006D0251"/>
    <w:rsid w:val="006D0366"/>
    <w:rsid w:val="006D4CDE"/>
    <w:rsid w:val="006F0EA2"/>
    <w:rsid w:val="006F492B"/>
    <w:rsid w:val="00701BD5"/>
    <w:rsid w:val="007020B8"/>
    <w:rsid w:val="0071376A"/>
    <w:rsid w:val="00713990"/>
    <w:rsid w:val="00716613"/>
    <w:rsid w:val="00720313"/>
    <w:rsid w:val="007216A6"/>
    <w:rsid w:val="00722F8D"/>
    <w:rsid w:val="00730983"/>
    <w:rsid w:val="00734897"/>
    <w:rsid w:val="00735AC6"/>
    <w:rsid w:val="00743F54"/>
    <w:rsid w:val="00746955"/>
    <w:rsid w:val="00750C50"/>
    <w:rsid w:val="007510FA"/>
    <w:rsid w:val="007526EA"/>
    <w:rsid w:val="00761A32"/>
    <w:rsid w:val="007637CD"/>
    <w:rsid w:val="007653C2"/>
    <w:rsid w:val="00765835"/>
    <w:rsid w:val="007701D3"/>
    <w:rsid w:val="007720D8"/>
    <w:rsid w:val="00773872"/>
    <w:rsid w:val="00784E92"/>
    <w:rsid w:val="00786773"/>
    <w:rsid w:val="0079176B"/>
    <w:rsid w:val="00791D21"/>
    <w:rsid w:val="007A66BA"/>
    <w:rsid w:val="007A7E7D"/>
    <w:rsid w:val="007B0C4D"/>
    <w:rsid w:val="007B3E63"/>
    <w:rsid w:val="007C2515"/>
    <w:rsid w:val="007C3A56"/>
    <w:rsid w:val="007C504D"/>
    <w:rsid w:val="007C577B"/>
    <w:rsid w:val="007C625A"/>
    <w:rsid w:val="007D3F6B"/>
    <w:rsid w:val="007E149B"/>
    <w:rsid w:val="007F0AA1"/>
    <w:rsid w:val="007F1017"/>
    <w:rsid w:val="007F110D"/>
    <w:rsid w:val="007F78AB"/>
    <w:rsid w:val="00805685"/>
    <w:rsid w:val="008140A8"/>
    <w:rsid w:val="00822AFF"/>
    <w:rsid w:val="00824225"/>
    <w:rsid w:val="008245B3"/>
    <w:rsid w:val="008275BD"/>
    <w:rsid w:val="00830CF1"/>
    <w:rsid w:val="00830E66"/>
    <w:rsid w:val="008335FF"/>
    <w:rsid w:val="00833D5F"/>
    <w:rsid w:val="00836DA5"/>
    <w:rsid w:val="00836F45"/>
    <w:rsid w:val="00841D2B"/>
    <w:rsid w:val="00844E16"/>
    <w:rsid w:val="0084795C"/>
    <w:rsid w:val="0086176D"/>
    <w:rsid w:val="0086372E"/>
    <w:rsid w:val="008673E5"/>
    <w:rsid w:val="0087087C"/>
    <w:rsid w:val="00871E14"/>
    <w:rsid w:val="008728FB"/>
    <w:rsid w:val="00881486"/>
    <w:rsid w:val="00885463"/>
    <w:rsid w:val="00886ACC"/>
    <w:rsid w:val="00891009"/>
    <w:rsid w:val="00891091"/>
    <w:rsid w:val="0089332C"/>
    <w:rsid w:val="008939AF"/>
    <w:rsid w:val="008B2073"/>
    <w:rsid w:val="008B52ED"/>
    <w:rsid w:val="008B79D6"/>
    <w:rsid w:val="008C4119"/>
    <w:rsid w:val="008D07DF"/>
    <w:rsid w:val="008D1AD6"/>
    <w:rsid w:val="008D3136"/>
    <w:rsid w:val="008D3201"/>
    <w:rsid w:val="008D370C"/>
    <w:rsid w:val="008E2EED"/>
    <w:rsid w:val="008E69F7"/>
    <w:rsid w:val="008F1C99"/>
    <w:rsid w:val="00902585"/>
    <w:rsid w:val="0090568E"/>
    <w:rsid w:val="00906EE7"/>
    <w:rsid w:val="0091032A"/>
    <w:rsid w:val="00911A5B"/>
    <w:rsid w:val="00911D77"/>
    <w:rsid w:val="00916263"/>
    <w:rsid w:val="00921B9B"/>
    <w:rsid w:val="009220CC"/>
    <w:rsid w:val="00924209"/>
    <w:rsid w:val="009339E2"/>
    <w:rsid w:val="00933E4B"/>
    <w:rsid w:val="00947175"/>
    <w:rsid w:val="00947A9C"/>
    <w:rsid w:val="00952048"/>
    <w:rsid w:val="00952286"/>
    <w:rsid w:val="00953EB9"/>
    <w:rsid w:val="00954051"/>
    <w:rsid w:val="00954EB6"/>
    <w:rsid w:val="00960881"/>
    <w:rsid w:val="009626EA"/>
    <w:rsid w:val="0096771C"/>
    <w:rsid w:val="0096792A"/>
    <w:rsid w:val="00971607"/>
    <w:rsid w:val="00974126"/>
    <w:rsid w:val="00975A19"/>
    <w:rsid w:val="0097681C"/>
    <w:rsid w:val="00981954"/>
    <w:rsid w:val="0098224C"/>
    <w:rsid w:val="00985205"/>
    <w:rsid w:val="0099725E"/>
    <w:rsid w:val="009A3108"/>
    <w:rsid w:val="009A771C"/>
    <w:rsid w:val="009B1E9E"/>
    <w:rsid w:val="009B7D07"/>
    <w:rsid w:val="009D43EE"/>
    <w:rsid w:val="009D500D"/>
    <w:rsid w:val="009E230D"/>
    <w:rsid w:val="009F0337"/>
    <w:rsid w:val="009F0A75"/>
    <w:rsid w:val="009F5664"/>
    <w:rsid w:val="009F7CC4"/>
    <w:rsid w:val="00A02205"/>
    <w:rsid w:val="00A13A61"/>
    <w:rsid w:val="00A318B4"/>
    <w:rsid w:val="00A3341D"/>
    <w:rsid w:val="00A35954"/>
    <w:rsid w:val="00A40A6F"/>
    <w:rsid w:val="00A456C1"/>
    <w:rsid w:val="00A5180F"/>
    <w:rsid w:val="00A548E3"/>
    <w:rsid w:val="00A5550A"/>
    <w:rsid w:val="00A618E9"/>
    <w:rsid w:val="00A63FB6"/>
    <w:rsid w:val="00A6402D"/>
    <w:rsid w:val="00A70696"/>
    <w:rsid w:val="00A70878"/>
    <w:rsid w:val="00A72997"/>
    <w:rsid w:val="00A7381F"/>
    <w:rsid w:val="00A73A8A"/>
    <w:rsid w:val="00A745ED"/>
    <w:rsid w:val="00A77006"/>
    <w:rsid w:val="00A8699F"/>
    <w:rsid w:val="00A90E90"/>
    <w:rsid w:val="00A91F9B"/>
    <w:rsid w:val="00A943FF"/>
    <w:rsid w:val="00A97DE2"/>
    <w:rsid w:val="00AA69ED"/>
    <w:rsid w:val="00AB013A"/>
    <w:rsid w:val="00AB2B10"/>
    <w:rsid w:val="00AB4DF8"/>
    <w:rsid w:val="00AC3767"/>
    <w:rsid w:val="00AC3943"/>
    <w:rsid w:val="00AC59DA"/>
    <w:rsid w:val="00AC7E49"/>
    <w:rsid w:val="00AD27E9"/>
    <w:rsid w:val="00AE0858"/>
    <w:rsid w:val="00AE263F"/>
    <w:rsid w:val="00AE2B48"/>
    <w:rsid w:val="00AE2F9A"/>
    <w:rsid w:val="00AE441C"/>
    <w:rsid w:val="00AE7EE1"/>
    <w:rsid w:val="00AF5BBB"/>
    <w:rsid w:val="00B05F4D"/>
    <w:rsid w:val="00B0601B"/>
    <w:rsid w:val="00B10E24"/>
    <w:rsid w:val="00B160B9"/>
    <w:rsid w:val="00B22A93"/>
    <w:rsid w:val="00B23E31"/>
    <w:rsid w:val="00B32C4B"/>
    <w:rsid w:val="00B44838"/>
    <w:rsid w:val="00B64ED1"/>
    <w:rsid w:val="00B70935"/>
    <w:rsid w:val="00B7126A"/>
    <w:rsid w:val="00B716E8"/>
    <w:rsid w:val="00B72F76"/>
    <w:rsid w:val="00B73325"/>
    <w:rsid w:val="00B76489"/>
    <w:rsid w:val="00B81901"/>
    <w:rsid w:val="00B85D19"/>
    <w:rsid w:val="00B871D7"/>
    <w:rsid w:val="00B903FB"/>
    <w:rsid w:val="00B90836"/>
    <w:rsid w:val="00BA1619"/>
    <w:rsid w:val="00BA1B67"/>
    <w:rsid w:val="00BB08DA"/>
    <w:rsid w:val="00BB3983"/>
    <w:rsid w:val="00BC4011"/>
    <w:rsid w:val="00BC5574"/>
    <w:rsid w:val="00BC7A8C"/>
    <w:rsid w:val="00BD097D"/>
    <w:rsid w:val="00BD3483"/>
    <w:rsid w:val="00BD3501"/>
    <w:rsid w:val="00BE1C5E"/>
    <w:rsid w:val="00BE548A"/>
    <w:rsid w:val="00BE6066"/>
    <w:rsid w:val="00BF03F9"/>
    <w:rsid w:val="00BF1F44"/>
    <w:rsid w:val="00BF28E5"/>
    <w:rsid w:val="00C01581"/>
    <w:rsid w:val="00C02B02"/>
    <w:rsid w:val="00C04275"/>
    <w:rsid w:val="00C057CC"/>
    <w:rsid w:val="00C1252E"/>
    <w:rsid w:val="00C12836"/>
    <w:rsid w:val="00C136B4"/>
    <w:rsid w:val="00C13F30"/>
    <w:rsid w:val="00C20957"/>
    <w:rsid w:val="00C24553"/>
    <w:rsid w:val="00C27097"/>
    <w:rsid w:val="00C323F7"/>
    <w:rsid w:val="00C336CA"/>
    <w:rsid w:val="00C36DE5"/>
    <w:rsid w:val="00C42490"/>
    <w:rsid w:val="00C52E17"/>
    <w:rsid w:val="00C54772"/>
    <w:rsid w:val="00C7024E"/>
    <w:rsid w:val="00C71ED2"/>
    <w:rsid w:val="00C76342"/>
    <w:rsid w:val="00C777A8"/>
    <w:rsid w:val="00C8127A"/>
    <w:rsid w:val="00C81ECF"/>
    <w:rsid w:val="00C83402"/>
    <w:rsid w:val="00C87005"/>
    <w:rsid w:val="00C91C98"/>
    <w:rsid w:val="00C92A53"/>
    <w:rsid w:val="00C9627F"/>
    <w:rsid w:val="00C973D0"/>
    <w:rsid w:val="00CA01FE"/>
    <w:rsid w:val="00CA5A3E"/>
    <w:rsid w:val="00CB0016"/>
    <w:rsid w:val="00CB29EB"/>
    <w:rsid w:val="00CB744A"/>
    <w:rsid w:val="00CC4CA2"/>
    <w:rsid w:val="00CC7216"/>
    <w:rsid w:val="00CD00D3"/>
    <w:rsid w:val="00CD13C2"/>
    <w:rsid w:val="00CD71EC"/>
    <w:rsid w:val="00CE1174"/>
    <w:rsid w:val="00CE2296"/>
    <w:rsid w:val="00CE338A"/>
    <w:rsid w:val="00CE5171"/>
    <w:rsid w:val="00CE7A45"/>
    <w:rsid w:val="00CF3CC5"/>
    <w:rsid w:val="00CF62D7"/>
    <w:rsid w:val="00CF710C"/>
    <w:rsid w:val="00CF7BDC"/>
    <w:rsid w:val="00D00E33"/>
    <w:rsid w:val="00D01F74"/>
    <w:rsid w:val="00D04929"/>
    <w:rsid w:val="00D13224"/>
    <w:rsid w:val="00D141AB"/>
    <w:rsid w:val="00D15121"/>
    <w:rsid w:val="00D159E4"/>
    <w:rsid w:val="00D21EB9"/>
    <w:rsid w:val="00D328CB"/>
    <w:rsid w:val="00D32F83"/>
    <w:rsid w:val="00D346C8"/>
    <w:rsid w:val="00D35578"/>
    <w:rsid w:val="00D37E91"/>
    <w:rsid w:val="00D44150"/>
    <w:rsid w:val="00D446CB"/>
    <w:rsid w:val="00D47825"/>
    <w:rsid w:val="00D618F8"/>
    <w:rsid w:val="00D666D1"/>
    <w:rsid w:val="00D77A1C"/>
    <w:rsid w:val="00D80EC9"/>
    <w:rsid w:val="00D84554"/>
    <w:rsid w:val="00D87D36"/>
    <w:rsid w:val="00D9335F"/>
    <w:rsid w:val="00D950D7"/>
    <w:rsid w:val="00D9785D"/>
    <w:rsid w:val="00DA0158"/>
    <w:rsid w:val="00DA5336"/>
    <w:rsid w:val="00DB144A"/>
    <w:rsid w:val="00DB1A8A"/>
    <w:rsid w:val="00DC3C42"/>
    <w:rsid w:val="00DD042C"/>
    <w:rsid w:val="00DD08C7"/>
    <w:rsid w:val="00DD0A08"/>
    <w:rsid w:val="00DE0544"/>
    <w:rsid w:val="00DE6EDF"/>
    <w:rsid w:val="00DE7B70"/>
    <w:rsid w:val="00DF0895"/>
    <w:rsid w:val="00DF089B"/>
    <w:rsid w:val="00DF2EEC"/>
    <w:rsid w:val="00DF682B"/>
    <w:rsid w:val="00DF703E"/>
    <w:rsid w:val="00E02B45"/>
    <w:rsid w:val="00E02DE4"/>
    <w:rsid w:val="00E12883"/>
    <w:rsid w:val="00E1763B"/>
    <w:rsid w:val="00E23867"/>
    <w:rsid w:val="00E27283"/>
    <w:rsid w:val="00E31AEA"/>
    <w:rsid w:val="00E3305C"/>
    <w:rsid w:val="00E41081"/>
    <w:rsid w:val="00E47ED0"/>
    <w:rsid w:val="00E72CC5"/>
    <w:rsid w:val="00E734D1"/>
    <w:rsid w:val="00E77881"/>
    <w:rsid w:val="00E80D82"/>
    <w:rsid w:val="00E848C5"/>
    <w:rsid w:val="00E87EC3"/>
    <w:rsid w:val="00E94DE4"/>
    <w:rsid w:val="00E9659E"/>
    <w:rsid w:val="00EA16CF"/>
    <w:rsid w:val="00EA42E1"/>
    <w:rsid w:val="00EA5BAB"/>
    <w:rsid w:val="00EB26F9"/>
    <w:rsid w:val="00EB470C"/>
    <w:rsid w:val="00ED100F"/>
    <w:rsid w:val="00ED17CE"/>
    <w:rsid w:val="00ED2D37"/>
    <w:rsid w:val="00EE1AB7"/>
    <w:rsid w:val="00EE7BE4"/>
    <w:rsid w:val="00EF5B74"/>
    <w:rsid w:val="00F00964"/>
    <w:rsid w:val="00F147EB"/>
    <w:rsid w:val="00F148C8"/>
    <w:rsid w:val="00F20E1A"/>
    <w:rsid w:val="00F2143B"/>
    <w:rsid w:val="00F229FD"/>
    <w:rsid w:val="00F24160"/>
    <w:rsid w:val="00F24ED3"/>
    <w:rsid w:val="00F270C9"/>
    <w:rsid w:val="00F311C6"/>
    <w:rsid w:val="00F31BD5"/>
    <w:rsid w:val="00F35510"/>
    <w:rsid w:val="00F423C9"/>
    <w:rsid w:val="00F4255F"/>
    <w:rsid w:val="00F42623"/>
    <w:rsid w:val="00F46B4E"/>
    <w:rsid w:val="00F5059F"/>
    <w:rsid w:val="00F50940"/>
    <w:rsid w:val="00F56B85"/>
    <w:rsid w:val="00F56C48"/>
    <w:rsid w:val="00F676AC"/>
    <w:rsid w:val="00F7320A"/>
    <w:rsid w:val="00F765C7"/>
    <w:rsid w:val="00F8328C"/>
    <w:rsid w:val="00F85E8B"/>
    <w:rsid w:val="00F87059"/>
    <w:rsid w:val="00F87DB4"/>
    <w:rsid w:val="00FB00B4"/>
    <w:rsid w:val="00FC045A"/>
    <w:rsid w:val="00FC1E52"/>
    <w:rsid w:val="00FC7BF7"/>
    <w:rsid w:val="00FD21D3"/>
    <w:rsid w:val="00FD719F"/>
    <w:rsid w:val="00FE060A"/>
    <w:rsid w:val="00FE128E"/>
    <w:rsid w:val="00FE5204"/>
    <w:rsid w:val="00FE7134"/>
    <w:rsid w:val="00FF174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place"/>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15121"/>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4244CF"/>
    <w:pPr>
      <w:tabs>
        <w:tab w:val="center" w:pos="4320"/>
        <w:tab w:val="right" w:pos="8640"/>
      </w:tabs>
    </w:pPr>
  </w:style>
  <w:style w:type="character" w:styleId="PageNumber">
    <w:name w:val="page number"/>
    <w:basedOn w:val="DefaultParagraphFont"/>
    <w:rsid w:val="004244CF"/>
  </w:style>
  <w:style w:type="paragraph" w:styleId="Header">
    <w:name w:val="header"/>
    <w:basedOn w:val="Normal"/>
    <w:link w:val="HeaderChar"/>
    <w:uiPriority w:val="99"/>
    <w:rsid w:val="00C9627F"/>
    <w:pPr>
      <w:tabs>
        <w:tab w:val="center" w:pos="4320"/>
        <w:tab w:val="right" w:pos="8640"/>
      </w:tabs>
    </w:pPr>
  </w:style>
  <w:style w:type="table" w:styleId="TableGrid">
    <w:name w:val="Table Grid"/>
    <w:basedOn w:val="TableNormal"/>
    <w:rsid w:val="0035186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rsid w:val="000424D1"/>
    <w:rPr>
      <w:rFonts w:ascii="Tahoma" w:hAnsi="Tahoma" w:cs="Tahoma"/>
      <w:sz w:val="16"/>
      <w:szCs w:val="16"/>
    </w:rPr>
  </w:style>
  <w:style w:type="character" w:customStyle="1" w:styleId="BalloonTextChar">
    <w:name w:val="Balloon Text Char"/>
    <w:basedOn w:val="DefaultParagraphFont"/>
    <w:link w:val="BalloonText"/>
    <w:rsid w:val="000424D1"/>
    <w:rPr>
      <w:rFonts w:ascii="Tahoma" w:hAnsi="Tahoma" w:cs="Tahoma"/>
      <w:sz w:val="16"/>
      <w:szCs w:val="16"/>
    </w:rPr>
  </w:style>
  <w:style w:type="character" w:customStyle="1" w:styleId="FooterChar">
    <w:name w:val="Footer Char"/>
    <w:basedOn w:val="DefaultParagraphFont"/>
    <w:link w:val="Footer"/>
    <w:uiPriority w:val="99"/>
    <w:rsid w:val="00587687"/>
    <w:rPr>
      <w:sz w:val="24"/>
      <w:szCs w:val="24"/>
    </w:rPr>
  </w:style>
  <w:style w:type="character" w:customStyle="1" w:styleId="HeaderChar">
    <w:name w:val="Header Char"/>
    <w:basedOn w:val="DefaultParagraphFont"/>
    <w:link w:val="Header"/>
    <w:uiPriority w:val="99"/>
    <w:rsid w:val="00587687"/>
    <w:rPr>
      <w:sz w:val="24"/>
      <w:szCs w:val="24"/>
    </w:rPr>
  </w:style>
</w:styles>
</file>

<file path=word/webSettings.xml><?xml version="1.0" encoding="utf-8"?>
<w:webSettings xmlns:r="http://schemas.openxmlformats.org/officeDocument/2006/relationships" xmlns:w="http://schemas.openxmlformats.org/wordprocessingml/2006/main">
  <w:divs>
    <w:div w:id="107820260">
      <w:bodyDiv w:val="1"/>
      <w:marLeft w:val="0"/>
      <w:marRight w:val="0"/>
      <w:marTop w:val="0"/>
      <w:marBottom w:val="0"/>
      <w:divBdr>
        <w:top w:val="none" w:sz="0" w:space="0" w:color="auto"/>
        <w:left w:val="none" w:sz="0" w:space="0" w:color="auto"/>
        <w:bottom w:val="none" w:sz="0" w:space="0" w:color="auto"/>
        <w:right w:val="none" w:sz="0" w:space="0" w:color="auto"/>
      </w:divBdr>
    </w:div>
    <w:div w:id="550700975">
      <w:bodyDiv w:val="1"/>
      <w:marLeft w:val="0"/>
      <w:marRight w:val="0"/>
      <w:marTop w:val="0"/>
      <w:marBottom w:val="0"/>
      <w:divBdr>
        <w:top w:val="none" w:sz="0" w:space="0" w:color="auto"/>
        <w:left w:val="none" w:sz="0" w:space="0" w:color="auto"/>
        <w:bottom w:val="none" w:sz="0" w:space="0" w:color="auto"/>
        <w:right w:val="none" w:sz="0" w:space="0" w:color="auto"/>
      </w:divBdr>
    </w:div>
    <w:div w:id="714350310">
      <w:bodyDiv w:val="1"/>
      <w:marLeft w:val="0"/>
      <w:marRight w:val="0"/>
      <w:marTop w:val="0"/>
      <w:marBottom w:val="0"/>
      <w:divBdr>
        <w:top w:val="none" w:sz="0" w:space="0" w:color="auto"/>
        <w:left w:val="none" w:sz="0" w:space="0" w:color="auto"/>
        <w:bottom w:val="none" w:sz="0" w:space="0" w:color="auto"/>
        <w:right w:val="none" w:sz="0" w:space="0" w:color="auto"/>
      </w:divBdr>
    </w:div>
    <w:div w:id="771245518">
      <w:bodyDiv w:val="1"/>
      <w:marLeft w:val="0"/>
      <w:marRight w:val="0"/>
      <w:marTop w:val="0"/>
      <w:marBottom w:val="0"/>
      <w:divBdr>
        <w:top w:val="none" w:sz="0" w:space="0" w:color="auto"/>
        <w:left w:val="none" w:sz="0" w:space="0" w:color="auto"/>
        <w:bottom w:val="none" w:sz="0" w:space="0" w:color="auto"/>
        <w:right w:val="none" w:sz="0" w:space="0" w:color="auto"/>
      </w:divBdr>
    </w:div>
    <w:div w:id="890846755">
      <w:bodyDiv w:val="1"/>
      <w:marLeft w:val="0"/>
      <w:marRight w:val="0"/>
      <w:marTop w:val="0"/>
      <w:marBottom w:val="0"/>
      <w:divBdr>
        <w:top w:val="none" w:sz="0" w:space="0" w:color="auto"/>
        <w:left w:val="none" w:sz="0" w:space="0" w:color="auto"/>
        <w:bottom w:val="none" w:sz="0" w:space="0" w:color="auto"/>
        <w:right w:val="none" w:sz="0" w:space="0" w:color="auto"/>
      </w:divBdr>
    </w:div>
    <w:div w:id="1309749019">
      <w:bodyDiv w:val="1"/>
      <w:marLeft w:val="0"/>
      <w:marRight w:val="0"/>
      <w:marTop w:val="0"/>
      <w:marBottom w:val="0"/>
      <w:divBdr>
        <w:top w:val="none" w:sz="0" w:space="0" w:color="auto"/>
        <w:left w:val="none" w:sz="0" w:space="0" w:color="auto"/>
        <w:bottom w:val="none" w:sz="0" w:space="0" w:color="auto"/>
        <w:right w:val="none" w:sz="0" w:space="0" w:color="auto"/>
      </w:divBdr>
    </w:div>
    <w:div w:id="1658418338">
      <w:bodyDiv w:val="1"/>
      <w:marLeft w:val="0"/>
      <w:marRight w:val="0"/>
      <w:marTop w:val="0"/>
      <w:marBottom w:val="0"/>
      <w:divBdr>
        <w:top w:val="none" w:sz="0" w:space="0" w:color="auto"/>
        <w:left w:val="none" w:sz="0" w:space="0" w:color="auto"/>
        <w:bottom w:val="none" w:sz="0" w:space="0" w:color="auto"/>
        <w:right w:val="none" w:sz="0" w:space="0" w:color="auto"/>
      </w:divBdr>
    </w:div>
    <w:div w:id="1751930472">
      <w:bodyDiv w:val="1"/>
      <w:marLeft w:val="0"/>
      <w:marRight w:val="0"/>
      <w:marTop w:val="0"/>
      <w:marBottom w:val="0"/>
      <w:divBdr>
        <w:top w:val="none" w:sz="0" w:space="0" w:color="auto"/>
        <w:left w:val="none" w:sz="0" w:space="0" w:color="auto"/>
        <w:bottom w:val="none" w:sz="0" w:space="0" w:color="auto"/>
        <w:right w:val="none" w:sz="0" w:space="0" w:color="auto"/>
      </w:divBdr>
    </w:div>
    <w:div w:id="2030182800">
      <w:bodyDiv w:val="1"/>
      <w:marLeft w:val="0"/>
      <w:marRight w:val="0"/>
      <w:marTop w:val="0"/>
      <w:marBottom w:val="0"/>
      <w:divBdr>
        <w:top w:val="none" w:sz="0" w:space="0" w:color="auto"/>
        <w:left w:val="none" w:sz="0" w:space="0" w:color="auto"/>
        <w:bottom w:val="none" w:sz="0" w:space="0" w:color="auto"/>
        <w:right w:val="none" w:sz="0" w:space="0" w:color="auto"/>
      </w:divBdr>
    </w:div>
    <w:div w:id="2076854377">
      <w:bodyDiv w:val="1"/>
      <w:marLeft w:val="0"/>
      <w:marRight w:val="0"/>
      <w:marTop w:val="0"/>
      <w:marBottom w:val="0"/>
      <w:divBdr>
        <w:top w:val="none" w:sz="0" w:space="0" w:color="auto"/>
        <w:left w:val="none" w:sz="0" w:space="0" w:color="auto"/>
        <w:bottom w:val="none" w:sz="0" w:space="0" w:color="auto"/>
        <w:right w:val="none" w:sz="0" w:space="0" w:color="auto"/>
      </w:divBdr>
    </w:div>
    <w:div w:id="20893002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C9865B-46F0-40F3-ABC1-A6293C2C9D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5</Pages>
  <Words>1638</Words>
  <Characters>9342</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Continuous Problem</vt:lpstr>
    </vt:vector>
  </TitlesOfParts>
  <Company>The McGraw-Hill Companies</Company>
  <LinksUpToDate>false</LinksUpToDate>
  <CharactersWithSpaces>10959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Continuous Problem</dc:title>
  <dc:creator>emily_hatteberg</dc:creator>
  <cp:lastModifiedBy>UserAdmin</cp:lastModifiedBy>
  <cp:revision>6</cp:revision>
  <cp:lastPrinted>2016-08-18T23:19:00Z</cp:lastPrinted>
  <dcterms:created xsi:type="dcterms:W3CDTF">2019-08-15T15:08:00Z</dcterms:created>
  <dcterms:modified xsi:type="dcterms:W3CDTF">2020-05-02T00:54:00Z</dcterms:modified>
</cp:coreProperties>
</file>